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ind w:firstLine="643"/>
        <w:jc w:val="center"/>
        <w:outlineLvl w:val="0"/>
        <w:rPr>
          <w:rFonts w:hAnsi="宋体" w:cs="宋体"/>
          <w:b/>
          <w:sz w:val="32"/>
          <w:szCs w:val="32"/>
          <w:highlight w:val="none"/>
        </w:rPr>
      </w:pPr>
      <w:r>
        <w:rPr>
          <w:rFonts w:hint="eastAsia" w:hAnsi="宋体" w:cs="宋体"/>
          <w:b/>
          <w:sz w:val="32"/>
          <w:szCs w:val="32"/>
          <w:highlight w:val="none"/>
        </w:rPr>
        <w:t>广州市第十二人民医院</w:t>
      </w:r>
    </w:p>
    <w:p>
      <w:pPr>
        <w:pStyle w:val="7"/>
        <w:adjustRightInd w:val="0"/>
        <w:snapToGrid w:val="0"/>
        <w:ind w:firstLine="643"/>
        <w:jc w:val="center"/>
        <w:outlineLvl w:val="0"/>
        <w:rPr>
          <w:b/>
          <w:sz w:val="30"/>
          <w:szCs w:val="30"/>
          <w:highlight w:val="none"/>
        </w:rPr>
      </w:pPr>
      <w:r>
        <w:rPr>
          <w:rFonts w:hint="eastAsia" w:hAnsi="宋体" w:cs="宋体"/>
          <w:b/>
          <w:sz w:val="32"/>
          <w:szCs w:val="32"/>
          <w:highlight w:val="none"/>
        </w:rPr>
        <w:t>污水处理及实验室废气治理运营管理</w:t>
      </w:r>
    </w:p>
    <w:p>
      <w:pPr>
        <w:pStyle w:val="7"/>
        <w:adjustRightInd w:val="0"/>
        <w:snapToGrid w:val="0"/>
        <w:ind w:firstLine="602"/>
        <w:jc w:val="center"/>
        <w:outlineLvl w:val="0"/>
        <w:rPr>
          <w:b/>
          <w:sz w:val="30"/>
          <w:szCs w:val="30"/>
          <w:highlight w:val="none"/>
        </w:rPr>
      </w:pPr>
      <w:r>
        <w:rPr>
          <w:rFonts w:hint="eastAsia"/>
          <w:b/>
          <w:sz w:val="30"/>
          <w:szCs w:val="30"/>
          <w:highlight w:val="none"/>
        </w:rPr>
        <w:t>服务内容及要求</w:t>
      </w:r>
    </w:p>
    <w:p>
      <w:pPr>
        <w:pStyle w:val="4"/>
        <w:spacing w:before="156" w:beforeLines="50" w:beforeAutospacing="0" w:after="0" w:afterAutospacing="0" w:line="200" w:lineRule="atLeast"/>
        <w:ind w:firstLine="560"/>
        <w:rPr>
          <w:rFonts w:ascii="宋体" w:hAnsi="宋体" w:cs="宋体"/>
          <w:b w:val="0"/>
          <w:bCs w:val="0"/>
          <w:sz w:val="28"/>
          <w:szCs w:val="28"/>
          <w:highlight w:val="none"/>
        </w:rPr>
      </w:pPr>
      <w:r>
        <w:rPr>
          <w:rFonts w:hint="eastAsia" w:ascii="宋体" w:hAnsi="宋体" w:cs="宋体"/>
          <w:b w:val="0"/>
          <w:bCs w:val="0"/>
          <w:sz w:val="28"/>
          <w:szCs w:val="28"/>
          <w:highlight w:val="none"/>
        </w:rPr>
        <w:t>一、项目基本概况</w:t>
      </w:r>
    </w:p>
    <w:p>
      <w:pPr>
        <w:spacing w:before="156" w:beforeLines="50" w:beforeAutospacing="0" w:after="0" w:afterAutospacing="0" w:line="200" w:lineRule="atLeast"/>
        <w:ind w:firstLine="0" w:firstLineChars="0"/>
        <w:rPr>
          <w:rFonts w:ascii="宋体" w:hAnsi="宋体" w:cs="宋体"/>
          <w:bCs/>
          <w:sz w:val="24"/>
          <w:szCs w:val="24"/>
          <w:highlight w:val="none"/>
        </w:rPr>
      </w:pPr>
      <w:r>
        <w:rPr>
          <w:rFonts w:hint="eastAsia" w:ascii="宋体" w:hAnsi="宋体" w:cs="宋体"/>
          <w:bCs/>
          <w:sz w:val="24"/>
          <w:szCs w:val="24"/>
          <w:highlight w:val="none"/>
        </w:rPr>
        <w:t>1.采购内容</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93"/>
        <w:gridCol w:w="2507"/>
        <w:gridCol w:w="27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3193" w:type="dxa"/>
            <w:tcBorders>
              <w:top w:val="single" w:color="auto" w:sz="12" w:space="0"/>
              <w:left w:val="single" w:color="auto" w:sz="12" w:space="0"/>
              <w:bottom w:val="double" w:color="auto" w:sz="4" w:space="0"/>
              <w:right w:val="single" w:color="auto" w:sz="4" w:space="0"/>
            </w:tcBorders>
            <w:shd w:val="clear" w:color="auto" w:fill="EEECE1"/>
            <w:vAlign w:val="center"/>
          </w:tcPr>
          <w:p>
            <w:pPr>
              <w:spacing w:before="156" w:beforeLines="50" w:beforeAutospacing="0" w:after="0" w:afterAutospacing="0" w:line="200" w:lineRule="atLeast"/>
              <w:ind w:firstLine="480"/>
              <w:jc w:val="center"/>
              <w:rPr>
                <w:rFonts w:ascii="宋体" w:hAnsi="宋体" w:cs="宋体"/>
                <w:sz w:val="24"/>
                <w:szCs w:val="24"/>
                <w:highlight w:val="none"/>
              </w:rPr>
            </w:pPr>
            <w:r>
              <w:rPr>
                <w:rFonts w:hint="eastAsia" w:ascii="宋体" w:hAnsi="宋体" w:cs="宋体"/>
                <w:sz w:val="24"/>
                <w:szCs w:val="24"/>
                <w:highlight w:val="none"/>
              </w:rPr>
              <w:t>采购内容</w:t>
            </w:r>
          </w:p>
        </w:tc>
        <w:tc>
          <w:tcPr>
            <w:tcW w:w="2507" w:type="dxa"/>
            <w:tcBorders>
              <w:top w:val="single" w:color="auto" w:sz="12" w:space="0"/>
              <w:left w:val="single" w:color="auto" w:sz="4" w:space="0"/>
              <w:bottom w:val="double" w:color="auto" w:sz="4" w:space="0"/>
              <w:right w:val="single" w:color="auto" w:sz="4" w:space="0"/>
            </w:tcBorders>
            <w:shd w:val="clear" w:color="auto" w:fill="EEECE1"/>
            <w:vAlign w:val="center"/>
          </w:tcPr>
          <w:p>
            <w:pPr>
              <w:spacing w:before="156" w:beforeLines="50" w:beforeAutospacing="0" w:after="0" w:afterAutospacing="0" w:line="200" w:lineRule="atLeast"/>
              <w:ind w:firstLine="480"/>
              <w:jc w:val="center"/>
              <w:rPr>
                <w:rFonts w:ascii="宋体" w:hAnsi="宋体" w:cs="宋体"/>
                <w:sz w:val="24"/>
                <w:szCs w:val="24"/>
                <w:highlight w:val="none"/>
              </w:rPr>
            </w:pPr>
            <w:r>
              <w:rPr>
                <w:rFonts w:hint="eastAsia" w:ascii="宋体" w:hAnsi="宋体" w:cs="宋体"/>
                <w:sz w:val="24"/>
                <w:szCs w:val="24"/>
                <w:highlight w:val="none"/>
              </w:rPr>
              <w:t>服务期</w:t>
            </w:r>
          </w:p>
        </w:tc>
        <w:tc>
          <w:tcPr>
            <w:tcW w:w="2760" w:type="dxa"/>
            <w:tcBorders>
              <w:top w:val="single" w:color="auto" w:sz="12" w:space="0"/>
              <w:left w:val="single" w:color="auto" w:sz="4" w:space="0"/>
              <w:bottom w:val="double" w:color="auto" w:sz="4" w:space="0"/>
              <w:right w:val="single" w:color="auto" w:sz="12" w:space="0"/>
            </w:tcBorders>
            <w:shd w:val="clear" w:color="auto" w:fill="EEECE1"/>
            <w:vAlign w:val="center"/>
          </w:tcPr>
          <w:p>
            <w:pPr>
              <w:spacing w:before="156" w:beforeLines="50" w:beforeAutospacing="0" w:after="0" w:afterAutospacing="0" w:line="200" w:lineRule="atLeast"/>
              <w:ind w:firstLine="480"/>
              <w:jc w:val="center"/>
              <w:rPr>
                <w:rFonts w:ascii="宋体" w:hAnsi="宋体" w:cs="宋体"/>
                <w:sz w:val="24"/>
                <w:szCs w:val="24"/>
                <w:highlight w:val="none"/>
              </w:rPr>
            </w:pPr>
            <w:r>
              <w:rPr>
                <w:rFonts w:hint="eastAsia" w:ascii="宋体" w:hAnsi="宋体" w:cs="宋体"/>
                <w:sz w:val="24"/>
                <w:szCs w:val="24"/>
                <w:highlight w:val="none"/>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3193" w:type="dxa"/>
            <w:tcBorders>
              <w:left w:val="single" w:color="auto" w:sz="12" w:space="0"/>
              <w:right w:val="single" w:color="auto" w:sz="4" w:space="0"/>
            </w:tcBorders>
            <w:vAlign w:val="center"/>
          </w:tcPr>
          <w:p>
            <w:pPr>
              <w:spacing w:before="156" w:beforeLines="50" w:beforeAutospacing="0" w:after="0" w:afterAutospacing="0" w:line="200" w:lineRule="atLeast"/>
              <w:ind w:firstLine="480"/>
              <w:jc w:val="center"/>
              <w:rPr>
                <w:rFonts w:ascii="宋体" w:hAnsi="宋体" w:cs="宋体"/>
                <w:sz w:val="24"/>
                <w:szCs w:val="24"/>
                <w:highlight w:val="none"/>
              </w:rPr>
            </w:pPr>
            <w:r>
              <w:rPr>
                <w:rFonts w:hint="eastAsia" w:ascii="宋体" w:hAnsi="宋体" w:cs="宋体"/>
                <w:sz w:val="24"/>
                <w:szCs w:val="24"/>
                <w:highlight w:val="none"/>
              </w:rPr>
              <w:t>污水处理及实验室废气治理运营管理服务</w:t>
            </w:r>
          </w:p>
        </w:tc>
        <w:tc>
          <w:tcPr>
            <w:tcW w:w="2507" w:type="dxa"/>
            <w:tcBorders>
              <w:top w:val="double" w:color="auto" w:sz="4" w:space="0"/>
              <w:left w:val="single" w:color="auto" w:sz="4" w:space="0"/>
              <w:bottom w:val="double" w:color="auto" w:sz="4" w:space="0"/>
              <w:right w:val="single" w:color="auto" w:sz="4" w:space="0"/>
            </w:tcBorders>
            <w:vAlign w:val="center"/>
          </w:tcPr>
          <w:p>
            <w:pPr>
              <w:spacing w:before="156" w:beforeLines="50" w:beforeAutospacing="0" w:after="0" w:afterAutospacing="0" w:line="200" w:lineRule="atLeast"/>
              <w:ind w:firstLine="480"/>
              <w:jc w:val="center"/>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年</w:t>
            </w:r>
          </w:p>
        </w:tc>
        <w:tc>
          <w:tcPr>
            <w:tcW w:w="2760" w:type="dxa"/>
            <w:tcBorders>
              <w:top w:val="double" w:color="auto" w:sz="4" w:space="0"/>
              <w:left w:val="single" w:color="auto" w:sz="4" w:space="0"/>
              <w:bottom w:val="double" w:color="auto" w:sz="4" w:space="0"/>
              <w:right w:val="single" w:color="auto" w:sz="12" w:space="0"/>
            </w:tcBorders>
            <w:vAlign w:val="center"/>
          </w:tcPr>
          <w:p>
            <w:pPr>
              <w:spacing w:before="156" w:beforeLines="50" w:beforeAutospacing="0" w:after="0" w:afterAutospacing="0" w:line="200" w:lineRule="atLeast"/>
              <w:ind w:firstLine="480"/>
              <w:jc w:val="center"/>
              <w:rPr>
                <w:rFonts w:ascii="宋体" w:hAnsi="宋体" w:cs="宋体"/>
                <w:sz w:val="24"/>
                <w:szCs w:val="24"/>
                <w:highlight w:val="none"/>
              </w:rPr>
            </w:pPr>
            <w:r>
              <w:rPr>
                <w:rFonts w:hint="eastAsia" w:ascii="宋体" w:hAnsi="宋体" w:cs="宋体"/>
                <w:sz w:val="24"/>
                <w:szCs w:val="24"/>
                <w:highlight w:val="none"/>
              </w:rPr>
              <w:t>人民币</w:t>
            </w:r>
            <w:r>
              <w:rPr>
                <w:rFonts w:ascii="宋体" w:hAnsi="宋体" w:cs="宋体"/>
                <w:sz w:val="24"/>
                <w:szCs w:val="24"/>
                <w:highlight w:val="none"/>
              </w:rPr>
              <w:t>150</w:t>
            </w:r>
            <w:r>
              <w:rPr>
                <w:rFonts w:hint="eastAsia" w:ascii="宋体" w:hAnsi="宋体" w:cs="宋体"/>
                <w:sz w:val="24"/>
                <w:szCs w:val="24"/>
                <w:highlight w:val="none"/>
              </w:rPr>
              <w:t>万元</w:t>
            </w:r>
          </w:p>
        </w:tc>
      </w:tr>
    </w:tbl>
    <w:p>
      <w:pPr>
        <w:pStyle w:val="11"/>
        <w:spacing w:before="156" w:beforeLines="50" w:beforeAutospacing="0" w:after="0" w:afterAutospacing="0" w:line="200" w:lineRule="atLeast"/>
        <w:ind w:firstLine="480"/>
        <w:rPr>
          <w:highlight w:val="none"/>
        </w:rPr>
      </w:pPr>
      <w:r>
        <w:rPr>
          <w:rFonts w:hint="eastAsia"/>
          <w:highlight w:val="none"/>
        </w:rPr>
        <w:t>本项目是对广州市第十二人民医院三院区污水处理设施及天河院区实验室废气治理设施运营管理项目进行公开招标。本项目</w:t>
      </w:r>
      <w:r>
        <w:rPr>
          <w:highlight w:val="none"/>
        </w:rPr>
        <w:t>3</w:t>
      </w:r>
      <w:r>
        <w:rPr>
          <w:rFonts w:hint="eastAsia"/>
          <w:highlight w:val="none"/>
        </w:rPr>
        <w:t>个院区污水处理站均采用“氯化消毒法”化学处理方法，经三级处理池消毒后达标排放；天河院区实验室废气治理设施采用活性炭吸附+碱液喷淋中和后达标排放。项目实行总价包干，报价需</w:t>
      </w:r>
      <w:r>
        <w:rPr>
          <w:highlight w:val="none"/>
        </w:rPr>
        <w:t>包含</w:t>
      </w:r>
      <w:r>
        <w:rPr>
          <w:rFonts w:hint="eastAsia"/>
          <w:highlight w:val="none"/>
        </w:rPr>
        <w:t>污水处理设施设备、实验室废气治理设施运行管理中技术管理费、管理人员和操作人员人工费、药剂费、500元以内的日常设备维修保养费、所有水质检测费、劳保用品费、环保部门处罚费、各项税费等。</w:t>
      </w:r>
    </w:p>
    <w:p>
      <w:pPr>
        <w:pStyle w:val="11"/>
        <w:spacing w:before="156" w:beforeLines="50" w:beforeAutospacing="0" w:after="0" w:afterAutospacing="0" w:line="200" w:lineRule="atLeast"/>
        <w:ind w:firstLine="480"/>
        <w:rPr>
          <w:highlight w:val="none"/>
        </w:rPr>
      </w:pPr>
      <w:r>
        <w:rPr>
          <w:rFonts w:hint="eastAsia"/>
          <w:highlight w:val="none"/>
        </w:rPr>
        <w:t>2.项目地点：</w:t>
      </w:r>
    </w:p>
    <w:p>
      <w:pPr>
        <w:pStyle w:val="11"/>
        <w:spacing w:before="156" w:beforeLines="50" w:beforeAutospacing="0" w:after="0" w:afterAutospacing="0" w:line="200" w:lineRule="atLeast"/>
        <w:ind w:firstLine="480"/>
        <w:rPr>
          <w:highlight w:val="none"/>
        </w:rPr>
      </w:pPr>
      <w:r>
        <w:rPr>
          <w:highlight w:val="none"/>
        </w:rPr>
        <w:t>（</w:t>
      </w:r>
      <w:r>
        <w:rPr>
          <w:rFonts w:hint="eastAsia"/>
          <w:highlight w:val="none"/>
        </w:rPr>
        <w:t>1）污水处理：天河院区、广园分院及黄埔新院区。</w:t>
      </w:r>
    </w:p>
    <w:p>
      <w:pPr>
        <w:pStyle w:val="11"/>
        <w:spacing w:before="156" w:beforeLines="50" w:beforeAutospacing="0" w:after="0" w:afterAutospacing="0" w:line="200" w:lineRule="atLeast"/>
        <w:ind w:firstLine="480"/>
        <w:rPr>
          <w:highlight w:val="none"/>
        </w:rPr>
      </w:pPr>
      <w:r>
        <w:rPr>
          <w:highlight w:val="none"/>
        </w:rPr>
        <w:t>（</w:t>
      </w:r>
      <w:r>
        <w:rPr>
          <w:rFonts w:hint="eastAsia"/>
          <w:highlight w:val="none"/>
        </w:rPr>
        <w:t>2）实验室废气治理：天河院区</w:t>
      </w:r>
    </w:p>
    <w:p>
      <w:pPr>
        <w:pStyle w:val="11"/>
        <w:spacing w:before="156" w:beforeLines="50" w:beforeAutospacing="0" w:after="0" w:afterAutospacing="0" w:line="200" w:lineRule="atLeast"/>
        <w:ind w:firstLine="480"/>
        <w:rPr>
          <w:highlight w:val="none"/>
        </w:rPr>
      </w:pPr>
      <w:r>
        <w:rPr>
          <w:rFonts w:hint="eastAsia"/>
          <w:highlight w:val="none"/>
        </w:rPr>
        <w:t xml:space="preserve">3.污水项目设计水量  </w:t>
      </w:r>
    </w:p>
    <w:tbl>
      <w:tblPr>
        <w:tblStyle w:val="12"/>
        <w:tblW w:w="8206" w:type="dxa"/>
        <w:jc w:val="center"/>
        <w:tblLayout w:type="fixed"/>
        <w:tblCellMar>
          <w:top w:w="0" w:type="dxa"/>
          <w:left w:w="108" w:type="dxa"/>
          <w:bottom w:w="0" w:type="dxa"/>
          <w:right w:w="108" w:type="dxa"/>
        </w:tblCellMar>
      </w:tblPr>
      <w:tblGrid>
        <w:gridCol w:w="1828"/>
        <w:gridCol w:w="2268"/>
        <w:gridCol w:w="2126"/>
        <w:gridCol w:w="1984"/>
      </w:tblGrid>
      <w:tr>
        <w:tblPrEx>
          <w:tblCellMar>
            <w:top w:w="0" w:type="dxa"/>
            <w:left w:w="108" w:type="dxa"/>
            <w:bottom w:w="0" w:type="dxa"/>
            <w:right w:w="108" w:type="dxa"/>
          </w:tblCellMar>
        </w:tblPrEx>
        <w:trPr>
          <w:trHeight w:val="482" w:hRule="atLeast"/>
          <w:jc w:val="center"/>
        </w:trPr>
        <w:tc>
          <w:tcPr>
            <w:tcW w:w="1828" w:type="dxa"/>
            <w:tcBorders>
              <w:top w:val="single" w:color="auto" w:sz="12" w:space="0"/>
              <w:left w:val="single" w:color="auto" w:sz="12" w:space="0"/>
              <w:bottom w:val="single" w:color="auto" w:sz="6" w:space="0"/>
              <w:right w:val="single" w:color="auto" w:sz="6" w:space="0"/>
            </w:tcBorders>
            <w:vAlign w:val="center"/>
          </w:tcPr>
          <w:p>
            <w:pPr>
              <w:spacing w:before="156" w:beforeLines="50" w:beforeAutospacing="0" w:after="0" w:afterAutospacing="0" w:line="200" w:lineRule="atLeast"/>
              <w:ind w:firstLine="480"/>
              <w:jc w:val="center"/>
              <w:rPr>
                <w:rFonts w:ascii="宋体" w:hAnsi="宋体" w:cs="宋体"/>
                <w:bCs/>
                <w:sz w:val="24"/>
                <w:szCs w:val="24"/>
                <w:highlight w:val="none"/>
              </w:rPr>
            </w:pPr>
            <w:r>
              <w:rPr>
                <w:rFonts w:hint="eastAsia" w:ascii="宋体" w:hAnsi="宋体" w:cs="宋体"/>
                <w:bCs/>
                <w:sz w:val="24"/>
                <w:szCs w:val="24"/>
                <w:highlight w:val="none"/>
              </w:rPr>
              <w:t>院区</w:t>
            </w:r>
          </w:p>
        </w:tc>
        <w:tc>
          <w:tcPr>
            <w:tcW w:w="2268" w:type="dxa"/>
            <w:tcBorders>
              <w:top w:val="single" w:color="auto" w:sz="12" w:space="0"/>
              <w:left w:val="nil"/>
              <w:bottom w:val="single" w:color="auto" w:sz="6" w:space="0"/>
              <w:right w:val="single" w:color="auto" w:sz="6" w:space="0"/>
            </w:tcBorders>
            <w:vAlign w:val="center"/>
          </w:tcPr>
          <w:p>
            <w:pPr>
              <w:spacing w:before="156" w:beforeLines="50" w:beforeAutospacing="0" w:after="0" w:afterAutospacing="0" w:line="200" w:lineRule="atLeast"/>
              <w:ind w:firstLine="480"/>
              <w:jc w:val="center"/>
              <w:rPr>
                <w:rFonts w:ascii="宋体" w:hAnsi="宋体" w:cs="宋体"/>
                <w:bCs/>
                <w:sz w:val="24"/>
                <w:szCs w:val="24"/>
                <w:highlight w:val="none"/>
              </w:rPr>
            </w:pPr>
            <w:r>
              <w:rPr>
                <w:rFonts w:hint="eastAsia" w:ascii="宋体" w:hAnsi="宋体" w:cs="宋体"/>
                <w:bCs/>
                <w:sz w:val="24"/>
                <w:szCs w:val="24"/>
                <w:highlight w:val="none"/>
              </w:rPr>
              <w:t>天河院区</w:t>
            </w:r>
          </w:p>
        </w:tc>
        <w:tc>
          <w:tcPr>
            <w:tcW w:w="2126" w:type="dxa"/>
            <w:tcBorders>
              <w:top w:val="single" w:color="auto" w:sz="12" w:space="0"/>
              <w:left w:val="nil"/>
              <w:bottom w:val="single" w:color="auto" w:sz="6" w:space="0"/>
              <w:right w:val="single" w:color="auto" w:sz="6" w:space="0"/>
            </w:tcBorders>
            <w:vAlign w:val="center"/>
          </w:tcPr>
          <w:p>
            <w:pPr>
              <w:spacing w:before="156" w:beforeLines="50" w:beforeAutospacing="0" w:after="0" w:afterAutospacing="0" w:line="200" w:lineRule="atLeast"/>
              <w:ind w:firstLine="480"/>
              <w:jc w:val="center"/>
              <w:rPr>
                <w:rFonts w:ascii="宋体" w:hAnsi="宋体" w:cs="宋体"/>
                <w:bCs/>
                <w:sz w:val="24"/>
                <w:szCs w:val="24"/>
                <w:highlight w:val="none"/>
              </w:rPr>
            </w:pPr>
            <w:r>
              <w:rPr>
                <w:rFonts w:hint="eastAsia" w:ascii="宋体" w:hAnsi="宋体" w:cs="宋体"/>
                <w:bCs/>
                <w:sz w:val="24"/>
                <w:szCs w:val="24"/>
                <w:highlight w:val="none"/>
              </w:rPr>
              <w:t>广园分院</w:t>
            </w:r>
          </w:p>
        </w:tc>
        <w:tc>
          <w:tcPr>
            <w:tcW w:w="1984" w:type="dxa"/>
            <w:tcBorders>
              <w:top w:val="single" w:color="auto" w:sz="12" w:space="0"/>
              <w:left w:val="nil"/>
              <w:bottom w:val="single" w:color="auto" w:sz="6" w:space="0"/>
              <w:right w:val="single" w:color="auto" w:sz="6" w:space="0"/>
            </w:tcBorders>
          </w:tcPr>
          <w:p>
            <w:pPr>
              <w:spacing w:before="156" w:beforeLines="50" w:beforeAutospacing="0" w:after="0" w:afterAutospacing="0" w:line="200" w:lineRule="atLeast"/>
              <w:ind w:firstLine="199" w:firstLineChars="83"/>
              <w:rPr>
                <w:rFonts w:ascii="宋体" w:hAnsi="宋体" w:cs="宋体"/>
                <w:bCs/>
                <w:sz w:val="24"/>
                <w:szCs w:val="24"/>
                <w:highlight w:val="none"/>
              </w:rPr>
            </w:pPr>
            <w:r>
              <w:rPr>
                <w:rFonts w:hint="eastAsia" w:ascii="宋体" w:hAnsi="宋体" w:cs="宋体"/>
                <w:bCs/>
                <w:sz w:val="24"/>
                <w:szCs w:val="24"/>
                <w:highlight w:val="none"/>
              </w:rPr>
              <w:t>黄埔新院区</w:t>
            </w:r>
          </w:p>
        </w:tc>
      </w:tr>
      <w:tr>
        <w:tblPrEx>
          <w:tblCellMar>
            <w:top w:w="0" w:type="dxa"/>
            <w:left w:w="108" w:type="dxa"/>
            <w:bottom w:w="0" w:type="dxa"/>
            <w:right w:w="108" w:type="dxa"/>
          </w:tblCellMar>
        </w:tblPrEx>
        <w:trPr>
          <w:trHeight w:val="663" w:hRule="atLeast"/>
          <w:jc w:val="center"/>
        </w:trPr>
        <w:tc>
          <w:tcPr>
            <w:tcW w:w="1828" w:type="dxa"/>
            <w:tcBorders>
              <w:top w:val="single" w:color="auto" w:sz="6" w:space="0"/>
              <w:left w:val="single" w:color="auto" w:sz="12" w:space="0"/>
              <w:bottom w:val="single" w:color="auto" w:sz="6" w:space="0"/>
              <w:right w:val="single" w:color="auto" w:sz="6" w:space="0"/>
            </w:tcBorders>
            <w:vAlign w:val="center"/>
          </w:tcPr>
          <w:p>
            <w:pPr>
              <w:spacing w:before="156" w:beforeLines="50" w:beforeAutospacing="0" w:after="0" w:afterAutospacing="0" w:line="200" w:lineRule="atLeast"/>
              <w:ind w:right="-87" w:firstLine="199" w:firstLineChars="83"/>
              <w:rPr>
                <w:rFonts w:ascii="宋体" w:hAnsi="宋体" w:cs="宋体"/>
                <w:sz w:val="24"/>
                <w:szCs w:val="24"/>
                <w:highlight w:val="none"/>
              </w:rPr>
            </w:pPr>
            <w:r>
              <w:rPr>
                <w:rFonts w:hint="eastAsia" w:ascii="宋体" w:hAnsi="宋体" w:cs="宋体"/>
                <w:sz w:val="24"/>
                <w:szCs w:val="24"/>
                <w:highlight w:val="none"/>
              </w:rPr>
              <w:t>污水处理量</w:t>
            </w:r>
          </w:p>
        </w:tc>
        <w:tc>
          <w:tcPr>
            <w:tcW w:w="2268" w:type="dxa"/>
            <w:tcBorders>
              <w:top w:val="single" w:color="auto" w:sz="6" w:space="0"/>
              <w:left w:val="nil"/>
              <w:bottom w:val="single" w:color="auto" w:sz="6" w:space="0"/>
              <w:right w:val="single" w:color="auto" w:sz="6" w:space="0"/>
            </w:tcBorders>
            <w:vAlign w:val="center"/>
          </w:tcPr>
          <w:p>
            <w:pPr>
              <w:spacing w:before="156" w:beforeLines="50" w:beforeAutospacing="0" w:after="0" w:afterAutospacing="0" w:line="200" w:lineRule="atLeast"/>
              <w:ind w:firstLine="240" w:firstLineChars="100"/>
              <w:rPr>
                <w:rFonts w:ascii="宋体" w:hAnsi="宋体" w:cs="宋体"/>
                <w:sz w:val="24"/>
                <w:szCs w:val="24"/>
                <w:highlight w:val="none"/>
              </w:rPr>
            </w:pPr>
            <w:r>
              <w:rPr>
                <w:rFonts w:ascii="宋体" w:hAnsi="宋体" w:cs="宋体"/>
                <w:sz w:val="24"/>
                <w:szCs w:val="24"/>
                <w:highlight w:val="none"/>
              </w:rPr>
              <w:t>约25</w:t>
            </w:r>
            <w:r>
              <w:rPr>
                <w:rFonts w:hint="eastAsia" w:ascii="宋体" w:hAnsi="宋体" w:cs="宋体"/>
                <w:sz w:val="24"/>
                <w:szCs w:val="24"/>
                <w:highlight w:val="none"/>
              </w:rPr>
              <w:t>0吨/日</w:t>
            </w:r>
          </w:p>
        </w:tc>
        <w:tc>
          <w:tcPr>
            <w:tcW w:w="2126" w:type="dxa"/>
            <w:tcBorders>
              <w:top w:val="single" w:color="auto" w:sz="6" w:space="0"/>
              <w:left w:val="nil"/>
              <w:bottom w:val="single" w:color="auto" w:sz="6" w:space="0"/>
              <w:right w:val="single" w:color="auto" w:sz="6" w:space="0"/>
            </w:tcBorders>
            <w:vAlign w:val="center"/>
          </w:tcPr>
          <w:p>
            <w:pPr>
              <w:spacing w:before="156" w:beforeLines="50" w:beforeAutospacing="0" w:after="0" w:afterAutospacing="0" w:line="200" w:lineRule="atLeast"/>
              <w:ind w:firstLine="199" w:firstLineChars="83"/>
              <w:rPr>
                <w:rFonts w:ascii="宋体" w:hAnsi="宋体" w:cs="宋体"/>
                <w:sz w:val="24"/>
                <w:szCs w:val="24"/>
                <w:highlight w:val="none"/>
              </w:rPr>
            </w:pPr>
            <w:r>
              <w:rPr>
                <w:rFonts w:ascii="宋体" w:hAnsi="宋体" w:cs="宋体"/>
                <w:sz w:val="24"/>
                <w:szCs w:val="24"/>
                <w:highlight w:val="none"/>
              </w:rPr>
              <w:t>约1</w:t>
            </w:r>
            <w:r>
              <w:rPr>
                <w:rFonts w:hint="eastAsia" w:ascii="宋体" w:hAnsi="宋体" w:cs="宋体"/>
                <w:sz w:val="24"/>
                <w:szCs w:val="24"/>
                <w:highlight w:val="none"/>
              </w:rPr>
              <w:t>0吨/日</w:t>
            </w:r>
          </w:p>
        </w:tc>
        <w:tc>
          <w:tcPr>
            <w:tcW w:w="1984" w:type="dxa"/>
            <w:tcBorders>
              <w:top w:val="single" w:color="auto" w:sz="6" w:space="0"/>
              <w:left w:val="nil"/>
              <w:bottom w:val="single" w:color="auto" w:sz="6" w:space="0"/>
              <w:right w:val="single" w:color="auto" w:sz="6" w:space="0"/>
            </w:tcBorders>
          </w:tcPr>
          <w:p>
            <w:pPr>
              <w:spacing w:before="156" w:beforeLines="50" w:beforeAutospacing="0" w:after="0" w:afterAutospacing="0" w:line="200" w:lineRule="atLeast"/>
              <w:ind w:firstLine="0" w:firstLineChars="0"/>
              <w:jc w:val="center"/>
              <w:rPr>
                <w:rFonts w:ascii="宋体" w:hAnsi="宋体" w:cs="宋体"/>
                <w:sz w:val="24"/>
                <w:szCs w:val="24"/>
                <w:highlight w:val="none"/>
              </w:rPr>
            </w:pPr>
            <w:r>
              <w:rPr>
                <w:rFonts w:ascii="宋体" w:hAnsi="宋体" w:cs="宋体"/>
                <w:sz w:val="24"/>
                <w:szCs w:val="24"/>
                <w:highlight w:val="none"/>
              </w:rPr>
              <w:t>约15</w:t>
            </w:r>
            <w:r>
              <w:rPr>
                <w:rFonts w:hint="eastAsia" w:ascii="宋体" w:hAnsi="宋体" w:cs="宋体"/>
                <w:sz w:val="24"/>
                <w:szCs w:val="24"/>
                <w:highlight w:val="none"/>
              </w:rPr>
              <w:t>0吨/日</w:t>
            </w:r>
          </w:p>
        </w:tc>
      </w:tr>
      <w:tr>
        <w:tblPrEx>
          <w:tblCellMar>
            <w:top w:w="0" w:type="dxa"/>
            <w:left w:w="108" w:type="dxa"/>
            <w:bottom w:w="0" w:type="dxa"/>
            <w:right w:w="108" w:type="dxa"/>
          </w:tblCellMar>
        </w:tblPrEx>
        <w:trPr>
          <w:trHeight w:val="935" w:hRule="atLeast"/>
          <w:jc w:val="center"/>
        </w:trPr>
        <w:tc>
          <w:tcPr>
            <w:tcW w:w="1828" w:type="dxa"/>
            <w:tcBorders>
              <w:top w:val="single" w:color="auto" w:sz="6" w:space="0"/>
              <w:left w:val="single" w:color="auto" w:sz="12" w:space="0"/>
              <w:bottom w:val="single" w:color="auto" w:sz="6" w:space="0"/>
              <w:right w:val="single" w:color="auto" w:sz="6" w:space="0"/>
            </w:tcBorders>
            <w:vAlign w:val="center"/>
          </w:tcPr>
          <w:p>
            <w:pPr>
              <w:spacing w:before="156" w:beforeLines="50" w:beforeAutospacing="0" w:after="0" w:afterAutospacing="0" w:line="200" w:lineRule="atLeast"/>
              <w:ind w:right="-87" w:firstLine="199" w:firstLineChars="83"/>
              <w:rPr>
                <w:rFonts w:ascii="宋体" w:hAnsi="宋体" w:cs="宋体"/>
                <w:sz w:val="24"/>
                <w:szCs w:val="24"/>
                <w:highlight w:val="none"/>
              </w:rPr>
            </w:pPr>
            <w:r>
              <w:rPr>
                <w:rFonts w:hint="eastAsia" w:ascii="宋体" w:hAnsi="宋体" w:cs="宋体"/>
                <w:sz w:val="24"/>
                <w:szCs w:val="24"/>
                <w:highlight w:val="none"/>
              </w:rPr>
              <w:t>站点地址</w:t>
            </w:r>
          </w:p>
        </w:tc>
        <w:tc>
          <w:tcPr>
            <w:tcW w:w="2268" w:type="dxa"/>
            <w:tcBorders>
              <w:top w:val="single" w:color="auto" w:sz="6" w:space="0"/>
              <w:left w:val="nil"/>
              <w:bottom w:val="single" w:color="auto" w:sz="6" w:space="0"/>
              <w:right w:val="single" w:color="auto" w:sz="6" w:space="0"/>
            </w:tcBorders>
            <w:vAlign w:val="center"/>
          </w:tcPr>
          <w:p>
            <w:pPr>
              <w:spacing w:before="156" w:beforeLines="50" w:beforeAutospacing="0" w:after="0" w:afterAutospacing="0" w:line="200" w:lineRule="atLeast"/>
              <w:ind w:firstLine="0" w:firstLineChars="0"/>
              <w:rPr>
                <w:rFonts w:ascii="宋体" w:hAnsi="宋体" w:cs="宋体"/>
                <w:sz w:val="24"/>
                <w:szCs w:val="24"/>
                <w:highlight w:val="none"/>
              </w:rPr>
            </w:pPr>
            <w:r>
              <w:rPr>
                <w:rFonts w:hint="eastAsia" w:ascii="宋体" w:hAnsi="宋体" w:cs="宋体"/>
                <w:sz w:val="24"/>
                <w:szCs w:val="24"/>
                <w:highlight w:val="none"/>
              </w:rPr>
              <w:t>广州市天河区黄埔大道西天强路1号</w:t>
            </w:r>
          </w:p>
        </w:tc>
        <w:tc>
          <w:tcPr>
            <w:tcW w:w="2126" w:type="dxa"/>
            <w:tcBorders>
              <w:top w:val="single" w:color="auto" w:sz="6" w:space="0"/>
              <w:left w:val="nil"/>
              <w:bottom w:val="single" w:color="auto" w:sz="6" w:space="0"/>
              <w:right w:val="single" w:color="auto" w:sz="6" w:space="0"/>
            </w:tcBorders>
            <w:vAlign w:val="center"/>
          </w:tcPr>
          <w:p>
            <w:pPr>
              <w:spacing w:before="156" w:beforeLines="50" w:beforeAutospacing="0" w:after="0" w:afterAutospacing="0" w:line="200" w:lineRule="atLeast"/>
              <w:ind w:firstLine="0" w:firstLineChars="0"/>
              <w:rPr>
                <w:rFonts w:ascii="宋体" w:hAnsi="宋体" w:cs="宋体"/>
                <w:sz w:val="24"/>
                <w:szCs w:val="24"/>
                <w:highlight w:val="none"/>
              </w:rPr>
            </w:pPr>
            <w:r>
              <w:rPr>
                <w:rFonts w:hint="eastAsia" w:ascii="宋体" w:hAnsi="宋体" w:cs="宋体"/>
                <w:sz w:val="24"/>
                <w:szCs w:val="24"/>
                <w:highlight w:val="none"/>
              </w:rPr>
              <w:t>广州市白云区广园中路景泰直街3</w:t>
            </w:r>
            <w:r>
              <w:rPr>
                <w:rFonts w:ascii="宋体" w:hAnsi="宋体" w:cs="宋体"/>
                <w:sz w:val="24"/>
                <w:szCs w:val="24"/>
                <w:highlight w:val="none"/>
              </w:rPr>
              <w:t>5</w:t>
            </w:r>
            <w:r>
              <w:rPr>
                <w:rFonts w:hint="eastAsia" w:ascii="宋体" w:hAnsi="宋体" w:cs="宋体"/>
                <w:sz w:val="24"/>
                <w:szCs w:val="24"/>
                <w:highlight w:val="none"/>
              </w:rPr>
              <w:t>号</w:t>
            </w:r>
          </w:p>
        </w:tc>
        <w:tc>
          <w:tcPr>
            <w:tcW w:w="1984" w:type="dxa"/>
            <w:tcBorders>
              <w:top w:val="single" w:color="auto" w:sz="6" w:space="0"/>
              <w:left w:val="nil"/>
              <w:bottom w:val="single" w:color="auto" w:sz="6" w:space="0"/>
              <w:right w:val="single" w:color="auto" w:sz="6" w:space="0"/>
            </w:tcBorders>
          </w:tcPr>
          <w:p>
            <w:pPr>
              <w:spacing w:before="156" w:beforeLines="50" w:beforeAutospacing="0" w:after="0" w:afterAutospacing="0" w:line="200" w:lineRule="atLeast"/>
              <w:ind w:firstLine="0" w:firstLineChars="0"/>
              <w:rPr>
                <w:rFonts w:ascii="宋体" w:hAnsi="宋体" w:cs="宋体"/>
                <w:sz w:val="24"/>
                <w:szCs w:val="24"/>
                <w:highlight w:val="none"/>
              </w:rPr>
            </w:pPr>
            <w:r>
              <w:rPr>
                <w:rFonts w:hint="eastAsia" w:ascii="宋体" w:hAnsi="宋体" w:cs="宋体"/>
                <w:sz w:val="24"/>
                <w:szCs w:val="24"/>
                <w:highlight w:val="none"/>
              </w:rPr>
              <w:t>广州市黄埔区丹水坑路123号</w:t>
            </w:r>
          </w:p>
        </w:tc>
      </w:tr>
    </w:tbl>
    <w:p>
      <w:pPr>
        <w:pStyle w:val="4"/>
        <w:spacing w:before="156" w:beforeLines="50" w:beforeAutospacing="0" w:after="0" w:afterAutospacing="0" w:line="200" w:lineRule="atLeast"/>
        <w:ind w:firstLine="560"/>
        <w:rPr>
          <w:rFonts w:ascii="宋体" w:hAnsi="宋体" w:cs="宋体"/>
          <w:b w:val="0"/>
          <w:bCs w:val="0"/>
          <w:sz w:val="28"/>
          <w:szCs w:val="28"/>
          <w:highlight w:val="none"/>
        </w:rPr>
      </w:pPr>
      <w:r>
        <w:rPr>
          <w:rFonts w:hint="eastAsia" w:ascii="宋体" w:hAnsi="宋体" w:cs="宋体"/>
          <w:b w:val="0"/>
          <w:bCs w:val="0"/>
          <w:sz w:val="28"/>
          <w:szCs w:val="28"/>
          <w:highlight w:val="none"/>
        </w:rPr>
        <w:t>二、项目服务要求</w:t>
      </w:r>
    </w:p>
    <w:p>
      <w:pPr>
        <w:pStyle w:val="5"/>
        <w:spacing w:before="156" w:beforeLines="50" w:beforeAutospacing="0" w:after="0" w:afterAutospacing="0" w:line="200" w:lineRule="atLeast"/>
        <w:ind w:firstLine="482"/>
        <w:rPr>
          <w:rFonts w:hAnsi="宋体"/>
          <w:b/>
          <w:bCs/>
          <w:sz w:val="24"/>
          <w:szCs w:val="24"/>
          <w:highlight w:val="none"/>
        </w:rPr>
      </w:pPr>
      <w:r>
        <w:rPr>
          <w:rFonts w:hint="eastAsia" w:hAnsi="宋体"/>
          <w:b/>
          <w:bCs/>
          <w:sz w:val="24"/>
          <w:szCs w:val="24"/>
          <w:highlight w:val="none"/>
        </w:rPr>
        <w:t>1．管理标准及目标</w:t>
      </w:r>
    </w:p>
    <w:p>
      <w:pPr>
        <w:pStyle w:val="6"/>
        <w:spacing w:before="156" w:beforeLines="50" w:beforeAutospacing="0" w:after="0" w:afterAutospacing="0" w:line="200" w:lineRule="atLeast"/>
        <w:ind w:firstLine="482"/>
        <w:rPr>
          <w:b/>
          <w:sz w:val="24"/>
          <w:highlight w:val="none"/>
        </w:rPr>
      </w:pPr>
      <w:r>
        <w:rPr>
          <w:b/>
          <w:sz w:val="24"/>
          <w:highlight w:val="none"/>
        </w:rPr>
        <w:t>（</w:t>
      </w:r>
      <w:r>
        <w:rPr>
          <w:rFonts w:hint="eastAsia"/>
          <w:b/>
          <w:sz w:val="24"/>
          <w:highlight w:val="none"/>
        </w:rPr>
        <w:t>1）污水处理</w:t>
      </w:r>
    </w:p>
    <w:p>
      <w:pPr>
        <w:pStyle w:val="11"/>
        <w:spacing w:before="156" w:beforeLines="50" w:beforeAutospacing="0" w:after="0" w:afterAutospacing="0" w:line="200" w:lineRule="atLeast"/>
        <w:ind w:firstLine="480"/>
        <w:rPr>
          <w:highlight w:val="none"/>
        </w:rPr>
      </w:pPr>
      <w:r>
        <w:rPr>
          <w:rFonts w:hint="eastAsia"/>
          <w:bCs/>
          <w:highlight w:val="none"/>
        </w:rPr>
        <w:t>本项目</w:t>
      </w:r>
      <w:r>
        <w:rPr>
          <w:bCs/>
          <w:highlight w:val="none"/>
        </w:rPr>
        <w:t>3</w:t>
      </w:r>
      <w:r>
        <w:rPr>
          <w:rFonts w:hint="eastAsia"/>
          <w:bCs/>
          <w:highlight w:val="none"/>
        </w:rPr>
        <w:t>个污水处理站均采用“氯化消毒法”化学处理方法，经三级处理池消毒后达标排放。供应商需了解本项目污水处理工艺，并能掌握运营管理技术，确保</w:t>
      </w:r>
      <w:r>
        <w:rPr>
          <w:rFonts w:hint="eastAsia"/>
          <w:highlight w:val="none"/>
        </w:rPr>
        <w:t>污水的各项污染物排放指标达到《医疗机构水污染物排放标准》(GB18466-2016) 中《综合医疗机构水污染物排放极限(日均值)》的预处理标准 。具体</w:t>
      </w:r>
      <w:r>
        <w:rPr>
          <w:highlight w:val="none"/>
        </w:rPr>
        <w:t>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688"/>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序号</w:t>
            </w:r>
          </w:p>
        </w:tc>
        <w:tc>
          <w:tcPr>
            <w:tcW w:w="368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污染物名称</w:t>
            </w:r>
          </w:p>
        </w:tc>
        <w:tc>
          <w:tcPr>
            <w:tcW w:w="2764"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预处理标准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1</w:t>
            </w:r>
          </w:p>
        </w:tc>
        <w:tc>
          <w:tcPr>
            <w:tcW w:w="368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highlight w:val="none"/>
              </w:rPr>
              <w:t>PH</w:t>
            </w:r>
            <w:r>
              <w:rPr>
                <w:rFonts w:hint="eastAsia"/>
                <w:highlight w:val="none"/>
              </w:rPr>
              <w:t>值</w:t>
            </w:r>
          </w:p>
        </w:tc>
        <w:tc>
          <w:tcPr>
            <w:tcW w:w="2764"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6</w:t>
            </w:r>
            <w:r>
              <w:rPr>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2</w:t>
            </w:r>
          </w:p>
        </w:tc>
        <w:tc>
          <w:tcPr>
            <w:tcW w:w="368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化学需氧量 (mg/L)</w:t>
            </w:r>
          </w:p>
        </w:tc>
        <w:tc>
          <w:tcPr>
            <w:tcW w:w="2764"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highlight w:val="none"/>
              </w:rPr>
              <w:t>&lt;</w:t>
            </w:r>
            <w:r>
              <w:rPr>
                <w:rFonts w:hint="eastAsia"/>
                <w:highlight w:val="none"/>
              </w:rPr>
              <w:t>2</w:t>
            </w:r>
            <w:r>
              <w:rPr>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3</w:t>
            </w:r>
          </w:p>
        </w:tc>
        <w:tc>
          <w:tcPr>
            <w:tcW w:w="368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生化需氧量(mg/L)</w:t>
            </w:r>
          </w:p>
        </w:tc>
        <w:tc>
          <w:tcPr>
            <w:tcW w:w="2764"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highlight w:val="none"/>
              </w:rPr>
              <w:t>&lt;</w:t>
            </w:r>
            <w:r>
              <w:rPr>
                <w:rFonts w:hint="eastAsia"/>
                <w:highlight w:val="none"/>
              </w:rPr>
              <w:t>1</w:t>
            </w:r>
            <w:r>
              <w:rPr>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4</w:t>
            </w:r>
          </w:p>
        </w:tc>
        <w:tc>
          <w:tcPr>
            <w:tcW w:w="368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悬浮物(mg/L)</w:t>
            </w:r>
          </w:p>
        </w:tc>
        <w:tc>
          <w:tcPr>
            <w:tcW w:w="2764"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highlight w:val="none"/>
              </w:rPr>
              <w:t>&lt;</w:t>
            </w:r>
            <w:r>
              <w:rPr>
                <w:rFonts w:hint="eastAsia"/>
                <w:highlight w:val="none"/>
              </w:rPr>
              <w:t>6</w:t>
            </w:r>
            <w:r>
              <w:rPr>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5</w:t>
            </w:r>
          </w:p>
        </w:tc>
        <w:tc>
          <w:tcPr>
            <w:tcW w:w="368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粪大肠菌群数(MPN/L)</w:t>
            </w:r>
          </w:p>
        </w:tc>
        <w:tc>
          <w:tcPr>
            <w:tcW w:w="2764"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highlight w:val="none"/>
              </w:rPr>
              <w:t>&lt;</w:t>
            </w:r>
            <w:r>
              <w:rPr>
                <w:rFonts w:hint="eastAsia"/>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6</w:t>
            </w:r>
          </w:p>
        </w:tc>
        <w:tc>
          <w:tcPr>
            <w:tcW w:w="368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肠道致病菌</w:t>
            </w:r>
          </w:p>
        </w:tc>
        <w:tc>
          <w:tcPr>
            <w:tcW w:w="2764" w:type="dxa"/>
            <w:tcBorders>
              <w:top w:val="single" w:color="auto" w:sz="4" w:space="0"/>
              <w:left w:val="single" w:color="auto" w:sz="4" w:space="0"/>
              <w:bottom w:val="single" w:color="auto" w:sz="4" w:space="0"/>
              <w:right w:val="single" w:color="auto" w:sz="4" w:space="0"/>
            </w:tcBorders>
          </w:tcPr>
          <w:p>
            <w:pPr>
              <w:spacing w:before="156" w:beforeLines="50" w:beforeAutospacing="0" w:after="0" w:afterAutospacing="0" w:line="200" w:lineRule="atLeast"/>
              <w:ind w:firstLine="480"/>
              <w:jc w:val="center"/>
              <w:rPr>
                <w:rFonts w:ascii="宋体" w:hAnsi="宋体"/>
                <w:sz w:val="24"/>
                <w:szCs w:val="24"/>
                <w:highlight w:val="none"/>
              </w:rPr>
            </w:pPr>
            <w:r>
              <w:rPr>
                <w:rFonts w:hint="eastAsia" w:ascii="宋体" w:hAnsi="宋体"/>
                <w:sz w:val="24"/>
                <w:szCs w:val="24"/>
                <w:highlight w:val="none"/>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7</w:t>
            </w:r>
          </w:p>
        </w:tc>
        <w:tc>
          <w:tcPr>
            <w:tcW w:w="368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肠道病毒</w:t>
            </w:r>
          </w:p>
        </w:tc>
        <w:tc>
          <w:tcPr>
            <w:tcW w:w="2764" w:type="dxa"/>
            <w:tcBorders>
              <w:top w:val="single" w:color="auto" w:sz="4" w:space="0"/>
              <w:left w:val="single" w:color="auto" w:sz="4" w:space="0"/>
              <w:bottom w:val="single" w:color="auto" w:sz="4" w:space="0"/>
              <w:right w:val="single" w:color="auto" w:sz="4" w:space="0"/>
            </w:tcBorders>
          </w:tcPr>
          <w:p>
            <w:pPr>
              <w:spacing w:before="156" w:beforeLines="50" w:beforeAutospacing="0" w:after="0" w:afterAutospacing="0" w:line="200" w:lineRule="atLeast"/>
              <w:ind w:firstLine="480"/>
              <w:jc w:val="center"/>
              <w:rPr>
                <w:rFonts w:ascii="宋体" w:hAnsi="宋体"/>
                <w:sz w:val="24"/>
                <w:szCs w:val="24"/>
                <w:highlight w:val="none"/>
              </w:rPr>
            </w:pPr>
            <w:r>
              <w:rPr>
                <w:rFonts w:hint="eastAsia" w:ascii="宋体" w:hAnsi="宋体"/>
                <w:sz w:val="24"/>
                <w:szCs w:val="24"/>
                <w:highlight w:val="none"/>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8</w:t>
            </w:r>
          </w:p>
        </w:tc>
        <w:tc>
          <w:tcPr>
            <w:tcW w:w="368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氨氮(mg/L)</w:t>
            </w:r>
          </w:p>
        </w:tc>
        <w:tc>
          <w:tcPr>
            <w:tcW w:w="2764"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highlight w:val="none"/>
              </w:rPr>
              <w:t>&lt;</w:t>
            </w:r>
            <w:r>
              <w:rPr>
                <w:rFonts w:hint="eastAsia"/>
                <w:highlight w:val="none"/>
              </w:rPr>
              <w:t>4</w:t>
            </w:r>
            <w:r>
              <w:rPr>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9</w:t>
            </w:r>
          </w:p>
        </w:tc>
        <w:tc>
          <w:tcPr>
            <w:tcW w:w="368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动植物油(mg/L)</w:t>
            </w:r>
          </w:p>
        </w:tc>
        <w:tc>
          <w:tcPr>
            <w:tcW w:w="2764"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highlight w:val="none"/>
              </w:rPr>
              <w:t>&lt;</w:t>
            </w:r>
            <w:r>
              <w:rPr>
                <w:rFonts w:hint="eastAsia"/>
                <w:highlight w:val="none"/>
              </w:rPr>
              <w:t>2</w:t>
            </w:r>
            <w:r>
              <w:rPr>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1</w:t>
            </w:r>
            <w:r>
              <w:rPr>
                <w:highlight w:val="none"/>
              </w:rPr>
              <w:t>0</w:t>
            </w:r>
          </w:p>
        </w:tc>
        <w:tc>
          <w:tcPr>
            <w:tcW w:w="368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石油类(mg/L)</w:t>
            </w:r>
          </w:p>
        </w:tc>
        <w:tc>
          <w:tcPr>
            <w:tcW w:w="2764"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highlight w:val="none"/>
              </w:rPr>
              <w:t>&lt;</w:t>
            </w:r>
            <w:r>
              <w:rPr>
                <w:rFonts w:hint="eastAsia"/>
                <w:highlight w:val="none"/>
              </w:rPr>
              <w:t>2</w:t>
            </w:r>
            <w:r>
              <w:rPr>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1</w:t>
            </w:r>
            <w:r>
              <w:rPr>
                <w:highlight w:val="none"/>
              </w:rPr>
              <w:t>1</w:t>
            </w:r>
          </w:p>
        </w:tc>
        <w:tc>
          <w:tcPr>
            <w:tcW w:w="368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阴离子表面活性剂(mg/L)</w:t>
            </w:r>
          </w:p>
        </w:tc>
        <w:tc>
          <w:tcPr>
            <w:tcW w:w="2764"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highlight w:val="none"/>
              </w:rPr>
              <w:t>&lt;10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1</w:t>
            </w:r>
            <w:r>
              <w:rPr>
                <w:highlight w:val="none"/>
              </w:rPr>
              <w:t>2</w:t>
            </w:r>
          </w:p>
        </w:tc>
        <w:tc>
          <w:tcPr>
            <w:tcW w:w="368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色度(稀释倍数)</w:t>
            </w:r>
          </w:p>
        </w:tc>
        <w:tc>
          <w:tcPr>
            <w:tcW w:w="2764"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1</w:t>
            </w:r>
            <w:r>
              <w:rPr>
                <w:highlight w:val="none"/>
              </w:rPr>
              <w:t>3</w:t>
            </w:r>
          </w:p>
        </w:tc>
        <w:tc>
          <w:tcPr>
            <w:tcW w:w="368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挥发酚(mg/L)</w:t>
            </w:r>
          </w:p>
        </w:tc>
        <w:tc>
          <w:tcPr>
            <w:tcW w:w="2764"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highlight w:val="none"/>
              </w:rPr>
              <w:t>&lt;</w:t>
            </w: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1"/>
              <w:spacing w:before="156" w:beforeLines="50" w:beforeAutospacing="0" w:after="0" w:afterAutospacing="0" w:line="200" w:lineRule="atLeast"/>
              <w:ind w:firstLine="480"/>
              <w:jc w:val="center"/>
              <w:rPr>
                <w:highlight w:val="none"/>
              </w:rPr>
            </w:pPr>
            <w:r>
              <w:rPr>
                <w:rFonts w:hint="eastAsia"/>
                <w:highlight w:val="none"/>
              </w:rPr>
              <w:t>1</w:t>
            </w:r>
            <w:r>
              <w:rPr>
                <w:highlight w:val="none"/>
              </w:rPr>
              <w:t>4</w:t>
            </w:r>
          </w:p>
        </w:tc>
        <w:tc>
          <w:tcPr>
            <w:tcW w:w="3688" w:type="dxa"/>
          </w:tcPr>
          <w:p>
            <w:pPr>
              <w:pStyle w:val="11"/>
              <w:spacing w:before="156" w:beforeLines="50" w:beforeAutospacing="0" w:after="0" w:afterAutospacing="0" w:line="200" w:lineRule="atLeast"/>
              <w:ind w:firstLine="480"/>
              <w:jc w:val="center"/>
              <w:rPr>
                <w:highlight w:val="none"/>
              </w:rPr>
            </w:pPr>
            <w:r>
              <w:rPr>
                <w:rFonts w:hint="eastAsia"/>
                <w:highlight w:val="none"/>
              </w:rPr>
              <w:t>总氰化物(mg/L)</w:t>
            </w:r>
          </w:p>
        </w:tc>
        <w:tc>
          <w:tcPr>
            <w:tcW w:w="2764" w:type="dxa"/>
          </w:tcPr>
          <w:p>
            <w:pPr>
              <w:pStyle w:val="11"/>
              <w:spacing w:before="156" w:beforeLines="50" w:beforeAutospacing="0" w:after="0" w:afterAutospacing="0" w:line="200" w:lineRule="atLeast"/>
              <w:ind w:firstLine="480"/>
              <w:jc w:val="center"/>
              <w:rPr>
                <w:highlight w:val="none"/>
              </w:rPr>
            </w:pPr>
            <w:r>
              <w:rPr>
                <w:highlight w:val="none"/>
              </w:rPr>
              <w:t>&lt;</w:t>
            </w:r>
            <w:r>
              <w:rPr>
                <w:rFonts w:hint="eastAsia"/>
                <w:highlight w:val="none"/>
              </w:rPr>
              <w:t>0</w:t>
            </w:r>
            <w:r>
              <w:rPr>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1</w:t>
            </w:r>
            <w:r>
              <w:rPr>
                <w:highlight w:val="none"/>
              </w:rPr>
              <w:t>5</w:t>
            </w:r>
          </w:p>
        </w:tc>
        <w:tc>
          <w:tcPr>
            <w:tcW w:w="3688"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rFonts w:hint="eastAsia"/>
                <w:highlight w:val="none"/>
              </w:rPr>
              <w:t>总汞(mg/L)</w:t>
            </w:r>
          </w:p>
        </w:tc>
        <w:tc>
          <w:tcPr>
            <w:tcW w:w="2764" w:type="dxa"/>
            <w:tcBorders>
              <w:top w:val="single" w:color="auto" w:sz="4" w:space="0"/>
              <w:left w:val="single" w:color="auto" w:sz="4" w:space="0"/>
              <w:bottom w:val="single" w:color="auto" w:sz="4" w:space="0"/>
              <w:right w:val="single" w:color="auto" w:sz="4" w:space="0"/>
            </w:tcBorders>
          </w:tcPr>
          <w:p>
            <w:pPr>
              <w:pStyle w:val="11"/>
              <w:spacing w:before="156" w:beforeLines="50" w:beforeAutospacing="0" w:after="0" w:afterAutospacing="0" w:line="200" w:lineRule="atLeast"/>
              <w:ind w:firstLine="480"/>
              <w:jc w:val="center"/>
              <w:rPr>
                <w:highlight w:val="none"/>
              </w:rPr>
            </w:pPr>
            <w:r>
              <w:rPr>
                <w:highlight w:val="none"/>
              </w:rPr>
              <w:t>&lt;</w:t>
            </w:r>
            <w:r>
              <w:rPr>
                <w:rFonts w:hint="eastAsia"/>
                <w:highlight w:val="none"/>
              </w:rPr>
              <w:t>0</w:t>
            </w:r>
            <w:r>
              <w:rPr>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1"/>
              <w:spacing w:before="156" w:beforeLines="50" w:beforeAutospacing="0" w:after="0" w:afterAutospacing="0" w:line="200" w:lineRule="atLeast"/>
              <w:ind w:firstLine="480"/>
              <w:jc w:val="center"/>
              <w:rPr>
                <w:highlight w:val="none"/>
              </w:rPr>
            </w:pPr>
            <w:r>
              <w:rPr>
                <w:rFonts w:hint="eastAsia"/>
                <w:highlight w:val="none"/>
              </w:rPr>
              <w:t>1</w:t>
            </w:r>
            <w:r>
              <w:rPr>
                <w:highlight w:val="none"/>
              </w:rPr>
              <w:t>6</w:t>
            </w:r>
          </w:p>
        </w:tc>
        <w:tc>
          <w:tcPr>
            <w:tcW w:w="3688" w:type="dxa"/>
          </w:tcPr>
          <w:p>
            <w:pPr>
              <w:pStyle w:val="11"/>
              <w:spacing w:before="156" w:beforeLines="50" w:beforeAutospacing="0" w:after="0" w:afterAutospacing="0" w:line="200" w:lineRule="atLeast"/>
              <w:ind w:firstLine="480"/>
              <w:jc w:val="center"/>
              <w:rPr>
                <w:highlight w:val="none"/>
              </w:rPr>
            </w:pPr>
            <w:r>
              <w:rPr>
                <w:rFonts w:hint="eastAsia"/>
                <w:highlight w:val="none"/>
              </w:rPr>
              <w:t>总镉(mg/L)</w:t>
            </w:r>
          </w:p>
        </w:tc>
        <w:tc>
          <w:tcPr>
            <w:tcW w:w="2764" w:type="dxa"/>
          </w:tcPr>
          <w:p>
            <w:pPr>
              <w:pStyle w:val="11"/>
              <w:spacing w:before="156" w:beforeLines="50" w:beforeAutospacing="0" w:after="0" w:afterAutospacing="0" w:line="200" w:lineRule="atLeast"/>
              <w:ind w:firstLine="480"/>
              <w:jc w:val="center"/>
              <w:rPr>
                <w:highlight w:val="none"/>
              </w:rPr>
            </w:pPr>
            <w:r>
              <w:rPr>
                <w:highlight w:val="none"/>
              </w:rPr>
              <w:t>&lt;</w:t>
            </w:r>
            <w:r>
              <w:rPr>
                <w:rFonts w:hint="eastAsia"/>
                <w:highlight w:val="none"/>
              </w:rPr>
              <w:t>0</w:t>
            </w:r>
            <w:r>
              <w:rPr>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1"/>
              <w:spacing w:before="156" w:beforeLines="50" w:beforeAutospacing="0" w:after="0" w:afterAutospacing="0" w:line="200" w:lineRule="atLeast"/>
              <w:ind w:firstLine="480"/>
              <w:jc w:val="center"/>
              <w:rPr>
                <w:highlight w:val="none"/>
              </w:rPr>
            </w:pPr>
            <w:r>
              <w:rPr>
                <w:rFonts w:hint="eastAsia"/>
                <w:highlight w:val="none"/>
              </w:rPr>
              <w:t>1</w:t>
            </w:r>
            <w:r>
              <w:rPr>
                <w:highlight w:val="none"/>
              </w:rPr>
              <w:t>7</w:t>
            </w:r>
          </w:p>
        </w:tc>
        <w:tc>
          <w:tcPr>
            <w:tcW w:w="3688" w:type="dxa"/>
          </w:tcPr>
          <w:p>
            <w:pPr>
              <w:pStyle w:val="11"/>
              <w:spacing w:before="156" w:beforeLines="50" w:beforeAutospacing="0" w:after="0" w:afterAutospacing="0" w:line="200" w:lineRule="atLeast"/>
              <w:ind w:firstLine="480"/>
              <w:jc w:val="center"/>
              <w:rPr>
                <w:highlight w:val="none"/>
              </w:rPr>
            </w:pPr>
            <w:r>
              <w:rPr>
                <w:rFonts w:hint="eastAsia"/>
                <w:highlight w:val="none"/>
              </w:rPr>
              <w:t>总铬(mg/L)</w:t>
            </w:r>
          </w:p>
        </w:tc>
        <w:tc>
          <w:tcPr>
            <w:tcW w:w="2764" w:type="dxa"/>
          </w:tcPr>
          <w:p>
            <w:pPr>
              <w:pStyle w:val="11"/>
              <w:spacing w:before="156" w:beforeLines="50" w:beforeAutospacing="0" w:after="0" w:afterAutospacing="0" w:line="200" w:lineRule="atLeast"/>
              <w:ind w:firstLine="480"/>
              <w:jc w:val="center"/>
              <w:rPr>
                <w:highlight w:val="none"/>
              </w:rPr>
            </w:pPr>
            <w:r>
              <w:rPr>
                <w:highlight w:val="none"/>
              </w:rPr>
              <w:t>&lt;</w:t>
            </w:r>
            <w:r>
              <w:rPr>
                <w:rFonts w:hint="eastAsia"/>
                <w:highlight w:val="none"/>
              </w:rPr>
              <w:t>1</w:t>
            </w:r>
            <w:r>
              <w:rPr>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1"/>
              <w:spacing w:before="156" w:beforeLines="50" w:beforeAutospacing="0" w:after="0" w:afterAutospacing="0" w:line="200" w:lineRule="atLeast"/>
              <w:ind w:firstLine="480"/>
              <w:jc w:val="center"/>
              <w:rPr>
                <w:highlight w:val="none"/>
              </w:rPr>
            </w:pPr>
            <w:r>
              <w:rPr>
                <w:rFonts w:hint="eastAsia"/>
                <w:highlight w:val="none"/>
              </w:rPr>
              <w:t>1</w:t>
            </w:r>
            <w:r>
              <w:rPr>
                <w:highlight w:val="none"/>
              </w:rPr>
              <w:t>8</w:t>
            </w:r>
          </w:p>
        </w:tc>
        <w:tc>
          <w:tcPr>
            <w:tcW w:w="3688" w:type="dxa"/>
          </w:tcPr>
          <w:p>
            <w:pPr>
              <w:pStyle w:val="11"/>
              <w:spacing w:before="156" w:beforeLines="50" w:beforeAutospacing="0" w:after="0" w:afterAutospacing="0" w:line="200" w:lineRule="atLeast"/>
              <w:ind w:firstLine="480"/>
              <w:jc w:val="center"/>
              <w:rPr>
                <w:highlight w:val="none"/>
              </w:rPr>
            </w:pPr>
            <w:r>
              <w:rPr>
                <w:rFonts w:hint="eastAsia"/>
                <w:highlight w:val="none"/>
              </w:rPr>
              <w:t>六价铬(mg/L)</w:t>
            </w:r>
          </w:p>
        </w:tc>
        <w:tc>
          <w:tcPr>
            <w:tcW w:w="2764" w:type="dxa"/>
          </w:tcPr>
          <w:p>
            <w:pPr>
              <w:pStyle w:val="11"/>
              <w:spacing w:before="156" w:beforeLines="50" w:beforeAutospacing="0" w:after="0" w:afterAutospacing="0" w:line="200" w:lineRule="atLeast"/>
              <w:ind w:firstLine="480"/>
              <w:jc w:val="center"/>
              <w:rPr>
                <w:highlight w:val="none"/>
              </w:rPr>
            </w:pPr>
            <w:r>
              <w:rPr>
                <w:highlight w:val="none"/>
              </w:rPr>
              <w:t>&lt;</w:t>
            </w:r>
            <w:r>
              <w:rPr>
                <w:rFonts w:hint="eastAsia"/>
                <w:highlight w:val="none"/>
              </w:rPr>
              <w:t>0</w:t>
            </w:r>
            <w:r>
              <w:rPr>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1"/>
              <w:spacing w:before="156" w:beforeLines="50" w:beforeAutospacing="0" w:after="0" w:afterAutospacing="0" w:line="200" w:lineRule="atLeast"/>
              <w:ind w:firstLine="480"/>
              <w:jc w:val="center"/>
              <w:rPr>
                <w:highlight w:val="none"/>
              </w:rPr>
            </w:pPr>
            <w:r>
              <w:rPr>
                <w:rFonts w:hint="eastAsia"/>
                <w:highlight w:val="none"/>
              </w:rPr>
              <w:t>1</w:t>
            </w:r>
            <w:r>
              <w:rPr>
                <w:highlight w:val="none"/>
              </w:rPr>
              <w:t>9</w:t>
            </w:r>
          </w:p>
        </w:tc>
        <w:tc>
          <w:tcPr>
            <w:tcW w:w="3688" w:type="dxa"/>
          </w:tcPr>
          <w:p>
            <w:pPr>
              <w:pStyle w:val="11"/>
              <w:spacing w:before="156" w:beforeLines="50" w:beforeAutospacing="0" w:after="0" w:afterAutospacing="0" w:line="200" w:lineRule="atLeast"/>
              <w:ind w:firstLine="480"/>
              <w:jc w:val="center"/>
              <w:rPr>
                <w:highlight w:val="none"/>
              </w:rPr>
            </w:pPr>
            <w:r>
              <w:rPr>
                <w:rFonts w:hint="eastAsia"/>
                <w:highlight w:val="none"/>
              </w:rPr>
              <w:t>总砷(mg/L)</w:t>
            </w:r>
          </w:p>
        </w:tc>
        <w:tc>
          <w:tcPr>
            <w:tcW w:w="2764" w:type="dxa"/>
          </w:tcPr>
          <w:p>
            <w:pPr>
              <w:pStyle w:val="11"/>
              <w:spacing w:before="156" w:beforeLines="50" w:beforeAutospacing="0" w:after="0" w:afterAutospacing="0" w:line="200" w:lineRule="atLeast"/>
              <w:ind w:firstLine="480"/>
              <w:jc w:val="center"/>
              <w:rPr>
                <w:highlight w:val="none"/>
              </w:rPr>
            </w:pPr>
            <w:r>
              <w:rPr>
                <w:highlight w:val="none"/>
              </w:rPr>
              <w:t>&lt;</w:t>
            </w:r>
            <w:r>
              <w:rPr>
                <w:rFonts w:hint="eastAsia"/>
                <w:highlight w:val="none"/>
              </w:rPr>
              <w:t>0</w:t>
            </w:r>
            <w:r>
              <w:rPr>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1"/>
              <w:spacing w:before="156" w:beforeLines="50" w:beforeAutospacing="0" w:after="0" w:afterAutospacing="0" w:line="200" w:lineRule="atLeast"/>
              <w:ind w:firstLine="480"/>
              <w:jc w:val="center"/>
              <w:rPr>
                <w:highlight w:val="none"/>
              </w:rPr>
            </w:pPr>
            <w:r>
              <w:rPr>
                <w:rFonts w:hint="eastAsia"/>
                <w:highlight w:val="none"/>
              </w:rPr>
              <w:t>2</w:t>
            </w:r>
            <w:r>
              <w:rPr>
                <w:highlight w:val="none"/>
              </w:rPr>
              <w:t>0</w:t>
            </w:r>
          </w:p>
        </w:tc>
        <w:tc>
          <w:tcPr>
            <w:tcW w:w="3688" w:type="dxa"/>
          </w:tcPr>
          <w:p>
            <w:pPr>
              <w:pStyle w:val="11"/>
              <w:spacing w:before="156" w:beforeLines="50" w:beforeAutospacing="0" w:after="0" w:afterAutospacing="0" w:line="200" w:lineRule="atLeast"/>
              <w:ind w:firstLine="480"/>
              <w:jc w:val="center"/>
              <w:rPr>
                <w:highlight w:val="none"/>
              </w:rPr>
            </w:pPr>
            <w:r>
              <w:rPr>
                <w:rFonts w:hint="eastAsia"/>
                <w:highlight w:val="none"/>
              </w:rPr>
              <w:t>总铅(mg/L)</w:t>
            </w:r>
          </w:p>
        </w:tc>
        <w:tc>
          <w:tcPr>
            <w:tcW w:w="2764" w:type="dxa"/>
          </w:tcPr>
          <w:p>
            <w:pPr>
              <w:pStyle w:val="11"/>
              <w:spacing w:before="156" w:beforeLines="50" w:beforeAutospacing="0" w:after="0" w:afterAutospacing="0" w:line="200" w:lineRule="atLeast"/>
              <w:ind w:firstLine="480"/>
              <w:jc w:val="center"/>
              <w:rPr>
                <w:highlight w:val="none"/>
              </w:rPr>
            </w:pPr>
            <w:r>
              <w:rPr>
                <w:highlight w:val="none"/>
              </w:rPr>
              <w:t>&lt;</w:t>
            </w: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1"/>
              <w:spacing w:before="156" w:beforeLines="50" w:beforeAutospacing="0" w:after="0" w:afterAutospacing="0" w:line="200" w:lineRule="atLeast"/>
              <w:ind w:firstLine="480"/>
              <w:jc w:val="center"/>
              <w:rPr>
                <w:highlight w:val="none"/>
              </w:rPr>
            </w:pPr>
            <w:r>
              <w:rPr>
                <w:rFonts w:hint="eastAsia"/>
                <w:highlight w:val="none"/>
              </w:rPr>
              <w:t>2</w:t>
            </w:r>
            <w:r>
              <w:rPr>
                <w:highlight w:val="none"/>
              </w:rPr>
              <w:t>1</w:t>
            </w:r>
          </w:p>
        </w:tc>
        <w:tc>
          <w:tcPr>
            <w:tcW w:w="3688" w:type="dxa"/>
          </w:tcPr>
          <w:p>
            <w:pPr>
              <w:pStyle w:val="11"/>
              <w:spacing w:before="156" w:beforeLines="50" w:beforeAutospacing="0" w:after="0" w:afterAutospacing="0" w:line="200" w:lineRule="atLeast"/>
              <w:ind w:firstLine="480"/>
              <w:jc w:val="center"/>
              <w:rPr>
                <w:highlight w:val="none"/>
              </w:rPr>
            </w:pPr>
            <w:r>
              <w:rPr>
                <w:rFonts w:hint="eastAsia"/>
                <w:highlight w:val="none"/>
              </w:rPr>
              <w:t>总银(mg/L)</w:t>
            </w:r>
          </w:p>
        </w:tc>
        <w:tc>
          <w:tcPr>
            <w:tcW w:w="2764" w:type="dxa"/>
          </w:tcPr>
          <w:p>
            <w:pPr>
              <w:pStyle w:val="11"/>
              <w:spacing w:before="156" w:beforeLines="50" w:beforeAutospacing="0" w:after="0" w:afterAutospacing="0" w:line="200" w:lineRule="atLeast"/>
              <w:ind w:firstLine="480"/>
              <w:jc w:val="center"/>
              <w:rPr>
                <w:highlight w:val="none"/>
              </w:rPr>
            </w:pPr>
            <w:r>
              <w:rPr>
                <w:highlight w:val="none"/>
              </w:rPr>
              <w:t>&lt;</w:t>
            </w:r>
            <w:r>
              <w:rPr>
                <w:rFonts w:hint="eastAsia"/>
                <w:highlight w:val="none"/>
              </w:rPr>
              <w:t>0</w:t>
            </w:r>
            <w:r>
              <w:rPr>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1"/>
              <w:spacing w:before="156" w:beforeLines="50" w:beforeAutospacing="0" w:after="0" w:afterAutospacing="0" w:line="200" w:lineRule="atLeast"/>
              <w:ind w:firstLine="480"/>
              <w:jc w:val="center"/>
              <w:rPr>
                <w:highlight w:val="none"/>
              </w:rPr>
            </w:pPr>
            <w:r>
              <w:rPr>
                <w:highlight w:val="none"/>
              </w:rPr>
              <w:t>22</w:t>
            </w:r>
          </w:p>
        </w:tc>
        <w:tc>
          <w:tcPr>
            <w:tcW w:w="3688" w:type="dxa"/>
          </w:tcPr>
          <w:p>
            <w:pPr>
              <w:pStyle w:val="11"/>
              <w:spacing w:before="156" w:beforeLines="50" w:beforeAutospacing="0" w:after="0" w:afterAutospacing="0" w:line="200" w:lineRule="atLeast"/>
              <w:ind w:firstLine="480"/>
              <w:jc w:val="center"/>
              <w:rPr>
                <w:highlight w:val="none"/>
              </w:rPr>
            </w:pPr>
            <w:r>
              <w:rPr>
                <w:rFonts w:hint="eastAsia"/>
                <w:highlight w:val="none"/>
              </w:rPr>
              <w:t>总α(Bq/L)</w:t>
            </w:r>
          </w:p>
        </w:tc>
        <w:tc>
          <w:tcPr>
            <w:tcW w:w="2764" w:type="dxa"/>
          </w:tcPr>
          <w:p>
            <w:pPr>
              <w:pStyle w:val="11"/>
              <w:spacing w:before="156" w:beforeLines="50" w:beforeAutospacing="0" w:after="0" w:afterAutospacing="0" w:line="200" w:lineRule="atLeast"/>
              <w:ind w:firstLine="480"/>
              <w:jc w:val="center"/>
              <w:rPr>
                <w:highlight w:val="none"/>
              </w:rPr>
            </w:pPr>
            <w:r>
              <w:rPr>
                <w:highlight w:val="none"/>
              </w:rPr>
              <w:t>&lt;</w:t>
            </w: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1"/>
              <w:spacing w:before="156" w:beforeLines="50" w:beforeAutospacing="0" w:after="0" w:afterAutospacing="0" w:line="200" w:lineRule="atLeast"/>
              <w:ind w:firstLine="480"/>
              <w:jc w:val="center"/>
              <w:rPr>
                <w:highlight w:val="none"/>
              </w:rPr>
            </w:pPr>
            <w:r>
              <w:rPr>
                <w:rFonts w:hint="eastAsia"/>
                <w:highlight w:val="none"/>
              </w:rPr>
              <w:t>2</w:t>
            </w:r>
            <w:r>
              <w:rPr>
                <w:highlight w:val="none"/>
              </w:rPr>
              <w:t>3</w:t>
            </w:r>
          </w:p>
        </w:tc>
        <w:tc>
          <w:tcPr>
            <w:tcW w:w="3688" w:type="dxa"/>
          </w:tcPr>
          <w:p>
            <w:pPr>
              <w:pStyle w:val="11"/>
              <w:spacing w:before="156" w:beforeLines="50" w:beforeAutospacing="0" w:after="0" w:afterAutospacing="0" w:line="200" w:lineRule="atLeast"/>
              <w:ind w:firstLine="480"/>
              <w:jc w:val="center"/>
              <w:rPr>
                <w:highlight w:val="none"/>
              </w:rPr>
            </w:pPr>
            <w:r>
              <w:rPr>
                <w:rFonts w:hint="eastAsia"/>
                <w:highlight w:val="none"/>
              </w:rPr>
              <w:t>总β(Bq/L)</w:t>
            </w:r>
          </w:p>
        </w:tc>
        <w:tc>
          <w:tcPr>
            <w:tcW w:w="2764" w:type="dxa"/>
          </w:tcPr>
          <w:p>
            <w:pPr>
              <w:spacing w:before="156" w:beforeLines="50" w:beforeAutospacing="0" w:after="0" w:afterAutospacing="0" w:line="200" w:lineRule="atLeast"/>
              <w:ind w:firstLine="480"/>
              <w:jc w:val="center"/>
              <w:rPr>
                <w:rFonts w:ascii="宋体" w:hAnsi="宋体"/>
                <w:sz w:val="24"/>
                <w:szCs w:val="24"/>
                <w:highlight w:val="none"/>
              </w:rPr>
            </w:pPr>
            <w:r>
              <w:rPr>
                <w:rFonts w:ascii="宋体" w:hAnsi="宋体"/>
                <w:sz w:val="24"/>
                <w:szCs w:val="24"/>
                <w:highlight w:val="none"/>
              </w:rPr>
              <w:t>&lt;</w:t>
            </w:r>
            <w:r>
              <w:rPr>
                <w:rFonts w:hint="eastAsia" w:ascii="宋体" w:hAnsi="宋体"/>
                <w:sz w:val="24"/>
                <w:szCs w:val="24"/>
                <w:highlight w:val="none"/>
              </w:rPr>
              <w:t>1</w:t>
            </w:r>
            <w:r>
              <w:rPr>
                <w:rFonts w:ascii="宋体" w:hAnsi="宋体"/>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pStyle w:val="11"/>
              <w:spacing w:before="156" w:beforeLines="50" w:beforeAutospacing="0" w:after="0" w:afterAutospacing="0" w:line="200" w:lineRule="atLeast"/>
              <w:ind w:firstLine="480"/>
              <w:jc w:val="center"/>
              <w:rPr>
                <w:highlight w:val="none"/>
              </w:rPr>
            </w:pPr>
            <w:r>
              <w:rPr>
                <w:rFonts w:hint="eastAsia"/>
                <w:highlight w:val="none"/>
              </w:rPr>
              <w:t>2</w:t>
            </w:r>
            <w:r>
              <w:rPr>
                <w:highlight w:val="none"/>
              </w:rPr>
              <w:t>4</w:t>
            </w:r>
          </w:p>
        </w:tc>
        <w:tc>
          <w:tcPr>
            <w:tcW w:w="3688" w:type="dxa"/>
          </w:tcPr>
          <w:p>
            <w:pPr>
              <w:pStyle w:val="11"/>
              <w:spacing w:before="156" w:beforeLines="50" w:beforeAutospacing="0" w:after="0" w:afterAutospacing="0" w:line="200" w:lineRule="atLeast"/>
              <w:ind w:firstLine="480"/>
              <w:jc w:val="center"/>
              <w:rPr>
                <w:highlight w:val="none"/>
              </w:rPr>
            </w:pPr>
            <w:r>
              <w:rPr>
                <w:rFonts w:hint="eastAsia"/>
                <w:highlight w:val="none"/>
              </w:rPr>
              <w:t>总余氯(mg/L)</w:t>
            </w:r>
          </w:p>
        </w:tc>
        <w:tc>
          <w:tcPr>
            <w:tcW w:w="2764" w:type="dxa"/>
          </w:tcPr>
          <w:p>
            <w:pPr>
              <w:spacing w:before="156" w:beforeLines="50" w:beforeAutospacing="0" w:after="0" w:afterAutospacing="0" w:line="200" w:lineRule="atLeast"/>
              <w:ind w:firstLine="480"/>
              <w:jc w:val="center"/>
              <w:rPr>
                <w:rFonts w:ascii="宋体" w:hAnsi="宋体"/>
                <w:sz w:val="24"/>
                <w:szCs w:val="24"/>
                <w:highlight w:val="none"/>
              </w:rPr>
            </w:pPr>
            <w:r>
              <w:rPr>
                <w:rFonts w:ascii="宋体" w:hAnsi="宋体"/>
                <w:sz w:val="24"/>
                <w:szCs w:val="24"/>
                <w:highlight w:val="none"/>
              </w:rPr>
              <w:t>—</w:t>
            </w:r>
          </w:p>
        </w:tc>
      </w:tr>
    </w:tbl>
    <w:p>
      <w:pPr>
        <w:spacing w:before="156" w:beforeLines="50" w:beforeAutospacing="0" w:after="0" w:afterAutospacing="0" w:line="200" w:lineRule="atLeast"/>
        <w:ind w:firstLine="482"/>
        <w:rPr>
          <w:rFonts w:hAnsi="宋体"/>
          <w:b/>
          <w:bCs/>
          <w:sz w:val="24"/>
          <w:szCs w:val="24"/>
          <w:highlight w:val="none"/>
        </w:rPr>
      </w:pPr>
      <w:r>
        <w:rPr>
          <w:rFonts w:hAnsi="宋体"/>
          <w:b/>
          <w:bCs/>
          <w:sz w:val="24"/>
          <w:szCs w:val="24"/>
          <w:highlight w:val="none"/>
        </w:rPr>
        <w:t>（</w:t>
      </w:r>
      <w:r>
        <w:rPr>
          <w:rFonts w:hint="eastAsia" w:hAnsi="宋体"/>
          <w:b/>
          <w:bCs/>
          <w:sz w:val="24"/>
          <w:szCs w:val="24"/>
          <w:highlight w:val="none"/>
        </w:rPr>
        <w:t>2）实验室废气治理</w:t>
      </w:r>
    </w:p>
    <w:p>
      <w:pPr>
        <w:spacing w:before="156" w:beforeLines="50" w:beforeAutospacing="0" w:after="0" w:afterAutospacing="0" w:line="200" w:lineRule="atLeast"/>
        <w:ind w:firstLine="480"/>
        <w:rPr>
          <w:rFonts w:ascii="宋体" w:hAnsi="宋体" w:cs="宋体"/>
          <w:bCs/>
          <w:sz w:val="24"/>
          <w:szCs w:val="24"/>
          <w:highlight w:val="none"/>
        </w:rPr>
      </w:pPr>
      <w:r>
        <w:rPr>
          <w:rFonts w:hint="eastAsia" w:ascii="宋体" w:hAnsi="宋体" w:cs="宋体"/>
          <w:bCs/>
          <w:sz w:val="24"/>
          <w:szCs w:val="24"/>
          <w:highlight w:val="none"/>
        </w:rPr>
        <w:t>本项目要求管道无泄漏、喷淋液P</w:t>
      </w:r>
      <w:r>
        <w:rPr>
          <w:rFonts w:ascii="宋体" w:hAnsi="宋体" w:cs="宋体"/>
          <w:bCs/>
          <w:sz w:val="24"/>
          <w:szCs w:val="24"/>
          <w:highlight w:val="none"/>
        </w:rPr>
        <w:t>H值</w:t>
      </w:r>
      <w:r>
        <w:rPr>
          <w:rFonts w:hint="eastAsia" w:ascii="宋体" w:hAnsi="宋体" w:cs="宋体"/>
          <w:bCs/>
          <w:sz w:val="24"/>
          <w:szCs w:val="24"/>
          <w:highlight w:val="none"/>
        </w:rPr>
        <w:t>6</w:t>
      </w:r>
      <w:r>
        <w:rPr>
          <w:rFonts w:ascii="宋体" w:hAnsi="宋体" w:cs="宋体"/>
          <w:bCs/>
          <w:sz w:val="24"/>
          <w:szCs w:val="24"/>
          <w:highlight w:val="none"/>
        </w:rPr>
        <w:t>-9、活性炭不失效，风机、水泵运转正常，确保废气治理后达标排放。</w:t>
      </w:r>
    </w:p>
    <w:p>
      <w:pPr>
        <w:pStyle w:val="5"/>
        <w:spacing w:before="156" w:beforeLines="50" w:beforeAutospacing="0" w:after="0" w:afterAutospacing="0" w:line="200" w:lineRule="atLeast"/>
        <w:ind w:firstLine="482"/>
        <w:rPr>
          <w:rFonts w:hAnsi="宋体"/>
          <w:b/>
          <w:bCs/>
          <w:sz w:val="24"/>
          <w:szCs w:val="24"/>
          <w:highlight w:val="none"/>
        </w:rPr>
      </w:pPr>
      <w:r>
        <w:rPr>
          <w:rFonts w:hint="eastAsia" w:hAnsi="宋体"/>
          <w:b/>
          <w:bCs/>
          <w:sz w:val="24"/>
          <w:szCs w:val="24"/>
          <w:highlight w:val="none"/>
        </w:rPr>
        <w:t>2</w:t>
      </w:r>
      <w:r>
        <w:rPr>
          <w:rFonts w:hAnsi="宋体"/>
          <w:b/>
          <w:bCs/>
          <w:sz w:val="24"/>
          <w:szCs w:val="24"/>
          <w:highlight w:val="none"/>
        </w:rPr>
        <w:t xml:space="preserve">. </w:t>
      </w:r>
      <w:r>
        <w:rPr>
          <w:rFonts w:hint="eastAsia" w:hAnsi="宋体"/>
          <w:b/>
          <w:bCs/>
          <w:sz w:val="24"/>
          <w:szCs w:val="24"/>
          <w:highlight w:val="none"/>
        </w:rPr>
        <w:t>运营管理要求</w:t>
      </w:r>
    </w:p>
    <w:p>
      <w:pPr>
        <w:pStyle w:val="6"/>
        <w:spacing w:before="156" w:beforeLines="50" w:beforeAutospacing="0" w:after="0" w:afterAutospacing="0" w:line="200" w:lineRule="atLeast"/>
        <w:ind w:firstLine="482"/>
        <w:rPr>
          <w:b/>
          <w:sz w:val="24"/>
          <w:highlight w:val="none"/>
        </w:rPr>
      </w:pPr>
      <w:r>
        <w:rPr>
          <w:b/>
          <w:sz w:val="24"/>
          <w:highlight w:val="none"/>
        </w:rPr>
        <w:t>（</w:t>
      </w:r>
      <w:r>
        <w:rPr>
          <w:rFonts w:hint="eastAsia"/>
          <w:b/>
          <w:sz w:val="24"/>
          <w:highlight w:val="none"/>
        </w:rPr>
        <w:t>1）污水处理运营管理</w:t>
      </w:r>
    </w:p>
    <w:p>
      <w:pPr>
        <w:spacing w:before="156" w:beforeLines="50" w:beforeAutospacing="0" w:after="0" w:afterAutospacing="0" w:line="200" w:lineRule="atLeast"/>
        <w:ind w:firstLine="480"/>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）本项目至少派驻1名专职管理人员、</w:t>
      </w:r>
      <w:r>
        <w:rPr>
          <w:rFonts w:ascii="宋体" w:hAnsi="宋体" w:cs="宋体"/>
          <w:sz w:val="24"/>
          <w:szCs w:val="24"/>
          <w:highlight w:val="none"/>
        </w:rPr>
        <w:t>3</w:t>
      </w:r>
      <w:r>
        <w:rPr>
          <w:rFonts w:hint="eastAsia" w:ascii="宋体" w:hAnsi="宋体" w:cs="宋体"/>
          <w:sz w:val="24"/>
          <w:szCs w:val="24"/>
          <w:highlight w:val="none"/>
        </w:rPr>
        <w:t>名专职现场操作人员上岗，确保污水站24小时运行。并由项目经理及专职安全员制定安全计划及措施、</w:t>
      </w:r>
      <w:r>
        <w:rPr>
          <w:rFonts w:hint="eastAsia" w:ascii="宋体" w:hAnsi="宋体" w:cs="宋体"/>
          <w:sz w:val="24"/>
          <w:szCs w:val="24"/>
          <w:highlight w:val="yellow"/>
          <w:lang w:eastAsia="zh-CN"/>
        </w:rPr>
        <w:t>配备</w:t>
      </w:r>
      <w:r>
        <w:rPr>
          <w:rFonts w:hint="eastAsia" w:ascii="宋体" w:hAnsi="宋体" w:cs="宋体"/>
          <w:sz w:val="24"/>
          <w:szCs w:val="24"/>
          <w:highlight w:val="yellow"/>
        </w:rPr>
        <w:t>电工</w:t>
      </w:r>
      <w:r>
        <w:rPr>
          <w:rFonts w:hint="eastAsia" w:ascii="宋体" w:hAnsi="宋体" w:cs="宋体"/>
          <w:sz w:val="24"/>
          <w:szCs w:val="24"/>
          <w:highlight w:val="none"/>
        </w:rPr>
        <w:t>对污水处理</w:t>
      </w:r>
      <w:r>
        <w:rPr>
          <w:rFonts w:ascii="宋体" w:hAnsi="宋体" w:cs="宋体"/>
          <w:sz w:val="24"/>
          <w:szCs w:val="24"/>
          <w:highlight w:val="none"/>
        </w:rPr>
        <w:t>设备</w:t>
      </w:r>
      <w:r>
        <w:rPr>
          <w:rFonts w:hint="eastAsia" w:ascii="宋体" w:hAnsi="宋体" w:cs="宋体"/>
          <w:sz w:val="24"/>
          <w:szCs w:val="24"/>
          <w:highlight w:val="none"/>
        </w:rPr>
        <w:t>定期</w:t>
      </w:r>
      <w:r>
        <w:rPr>
          <w:rFonts w:ascii="宋体" w:hAnsi="宋体" w:cs="宋体"/>
          <w:sz w:val="24"/>
          <w:szCs w:val="24"/>
          <w:highlight w:val="none"/>
        </w:rPr>
        <w:t>进行</w:t>
      </w:r>
      <w:r>
        <w:rPr>
          <w:rFonts w:hint="eastAsia" w:ascii="宋体" w:hAnsi="宋体" w:cs="宋体"/>
          <w:sz w:val="24"/>
          <w:szCs w:val="24"/>
          <w:highlight w:val="none"/>
        </w:rPr>
        <w:t>维护保养。</w:t>
      </w:r>
    </w:p>
    <w:p>
      <w:pPr>
        <w:pStyle w:val="11"/>
        <w:spacing w:before="156" w:beforeLines="50" w:beforeAutospacing="0" w:after="0" w:afterAutospacing="0" w:line="200" w:lineRule="atLeast"/>
        <w:ind w:firstLine="480"/>
        <w:rPr>
          <w:highlight w:val="none"/>
        </w:rPr>
      </w:pPr>
      <w:r>
        <w:rPr>
          <w:highlight w:val="none"/>
        </w:rPr>
        <w:t>2</w:t>
      </w:r>
      <w:r>
        <w:rPr>
          <w:rFonts w:hint="eastAsia"/>
          <w:highlight w:val="none"/>
        </w:rPr>
        <w:t xml:space="preserve">）保证出水排放符合国家标准和环保要求，保障污水处理设备运行正常，保持污水站周围环境卫生清洁。 </w:t>
      </w:r>
    </w:p>
    <w:p>
      <w:pPr>
        <w:pStyle w:val="11"/>
        <w:spacing w:before="156" w:beforeLines="50" w:beforeAutospacing="0" w:after="0" w:afterAutospacing="0" w:line="200" w:lineRule="atLeast"/>
        <w:ind w:firstLine="480"/>
        <w:rPr>
          <w:highlight w:val="none"/>
        </w:rPr>
      </w:pPr>
      <w:r>
        <w:rPr>
          <w:highlight w:val="none"/>
        </w:rPr>
        <w:t>3</w:t>
      </w:r>
      <w:r>
        <w:rPr>
          <w:rFonts w:hint="eastAsia"/>
          <w:highlight w:val="none"/>
        </w:rPr>
        <w:t>）严格按照污水处理管理程序每天认真计量按需投放药物，确保污水处理合格率 100%。如因</w:t>
      </w:r>
      <w:r>
        <w:rPr>
          <w:rFonts w:hint="eastAsia"/>
          <w:highlight w:val="none"/>
          <w:lang w:eastAsia="zh-CN"/>
        </w:rPr>
        <w:t>供应商</w:t>
      </w:r>
      <w:r>
        <w:rPr>
          <w:rFonts w:hint="eastAsia"/>
          <w:highlight w:val="none"/>
        </w:rPr>
        <w:t>操作、维护、保养或投药不足等管理不当致使污水检验不合格受环保部门的所发生的一切处罚，责任由</w:t>
      </w:r>
      <w:r>
        <w:rPr>
          <w:rFonts w:hint="eastAsia"/>
          <w:highlight w:val="none"/>
          <w:lang w:eastAsia="zh-CN"/>
        </w:rPr>
        <w:t>供应商</w:t>
      </w:r>
      <w:r>
        <w:rPr>
          <w:rFonts w:hint="eastAsia"/>
          <w:highlight w:val="none"/>
        </w:rPr>
        <w:t xml:space="preserve">承担。 </w:t>
      </w:r>
    </w:p>
    <w:p>
      <w:pPr>
        <w:pStyle w:val="11"/>
        <w:spacing w:before="156" w:beforeLines="50" w:beforeAutospacing="0" w:after="0" w:afterAutospacing="0" w:line="200" w:lineRule="atLeast"/>
        <w:ind w:firstLine="480"/>
        <w:rPr>
          <w:highlight w:val="none"/>
        </w:rPr>
      </w:pPr>
      <w:r>
        <w:rPr>
          <w:rFonts w:hint="eastAsia"/>
          <w:highlight w:val="none"/>
        </w:rPr>
        <w:t>4）所采用的消毒药物及消毒品符合国家相关标准、消毒药物及消毒品的生产商应具 备卫生部核发的《消毒产品生产企业卫生许可证》、产品备案凭证或者卫生许可批件 。</w:t>
      </w:r>
    </w:p>
    <w:p>
      <w:pPr>
        <w:pStyle w:val="11"/>
        <w:spacing w:before="156" w:beforeLines="50" w:beforeAutospacing="0" w:after="0" w:afterAutospacing="0" w:line="200" w:lineRule="atLeast"/>
        <w:ind w:firstLine="480"/>
        <w:rPr>
          <w:highlight w:val="none"/>
        </w:rPr>
      </w:pPr>
      <w:r>
        <w:rPr>
          <w:rFonts w:hint="eastAsia"/>
          <w:highlight w:val="none"/>
        </w:rPr>
        <w:t xml:space="preserve">5）建立及完善污水站设备设施的台帐档案及管理制度，台帐档案需符合环保及上级相关检查部门的检查要求。 </w:t>
      </w:r>
    </w:p>
    <w:p>
      <w:pPr>
        <w:pStyle w:val="11"/>
        <w:spacing w:before="156" w:beforeLines="50" w:beforeAutospacing="0" w:after="0" w:afterAutospacing="0" w:line="200" w:lineRule="atLeast"/>
        <w:ind w:firstLine="480"/>
        <w:rPr>
          <w:highlight w:val="none"/>
        </w:rPr>
      </w:pPr>
      <w:r>
        <w:rPr>
          <w:rFonts w:hint="eastAsia"/>
          <w:highlight w:val="none"/>
        </w:rPr>
        <w:t>6）负责污水处理系统清淤清渣。</w:t>
      </w:r>
    </w:p>
    <w:p>
      <w:pPr>
        <w:pStyle w:val="11"/>
        <w:spacing w:before="156" w:beforeLines="50" w:beforeAutospacing="0" w:after="0" w:afterAutospacing="0" w:line="200" w:lineRule="atLeast"/>
        <w:ind w:firstLine="480"/>
        <w:rPr>
          <w:highlight w:val="none"/>
        </w:rPr>
      </w:pPr>
      <w:r>
        <w:rPr>
          <w:rFonts w:hint="eastAsia"/>
          <w:highlight w:val="none"/>
        </w:rPr>
        <w:t xml:space="preserve">7）每天打扫污水站值班室卫生，保持场地清洁。 </w:t>
      </w:r>
    </w:p>
    <w:p>
      <w:pPr>
        <w:pStyle w:val="11"/>
        <w:spacing w:before="156" w:beforeLines="50" w:beforeAutospacing="0" w:after="0" w:afterAutospacing="0" w:line="200" w:lineRule="atLeast"/>
        <w:ind w:firstLine="480"/>
        <w:rPr>
          <w:highlight w:val="none"/>
        </w:rPr>
      </w:pPr>
      <w:r>
        <w:rPr>
          <w:highlight w:val="none"/>
        </w:rPr>
        <w:t>8</w:t>
      </w:r>
      <w:r>
        <w:rPr>
          <w:rFonts w:hint="eastAsia"/>
          <w:highlight w:val="none"/>
        </w:rPr>
        <w:t>）每两个小时巡查一次，记录好设备运行情况，做好加药工作，每天做好设备运营 。</w:t>
      </w:r>
    </w:p>
    <w:p>
      <w:pPr>
        <w:pStyle w:val="11"/>
        <w:spacing w:before="156" w:beforeLines="50" w:beforeAutospacing="0" w:after="0" w:afterAutospacing="0" w:line="200" w:lineRule="atLeast"/>
        <w:ind w:firstLine="480"/>
        <w:rPr>
          <w:highlight w:val="none"/>
        </w:rPr>
      </w:pPr>
      <w:r>
        <w:rPr>
          <w:rFonts w:hint="eastAsia"/>
          <w:highlight w:val="none"/>
        </w:rPr>
        <w:t>9）执行《医疗机构水污染物排放标准》(GB18466-2016) 中表 2《综合医疗机构水污染物排放极限(日均值)》的预处理标准，每天进行不低于6次 pH 值和余氯检测；每月不低于1次</w:t>
      </w:r>
      <w:r>
        <w:rPr>
          <w:highlight w:val="none"/>
        </w:rPr>
        <w:t>BOD</w:t>
      </w:r>
      <w:r>
        <w:rPr>
          <w:rFonts w:hint="eastAsia"/>
          <w:highlight w:val="none"/>
        </w:rPr>
        <w:t xml:space="preserve">、COD、SS、粪大肠菌群检测；每季度委托有资质的第三方检测机构进行一次水样各污染物监测。 </w:t>
      </w:r>
    </w:p>
    <w:p>
      <w:pPr>
        <w:pStyle w:val="11"/>
        <w:spacing w:before="156" w:beforeLines="50" w:beforeAutospacing="0" w:after="0" w:afterAutospacing="0" w:line="200" w:lineRule="atLeast"/>
        <w:ind w:firstLine="480"/>
        <w:rPr>
          <w:highlight w:val="none"/>
        </w:rPr>
      </w:pPr>
      <w:r>
        <w:rPr>
          <w:rFonts w:hint="eastAsia"/>
          <w:highlight w:val="none"/>
        </w:rPr>
        <w:t>1</w:t>
      </w:r>
      <w:r>
        <w:rPr>
          <w:highlight w:val="none"/>
        </w:rPr>
        <w:t>0</w:t>
      </w:r>
      <w:r>
        <w:rPr>
          <w:rFonts w:hint="eastAsia"/>
          <w:highlight w:val="none"/>
        </w:rPr>
        <w:t xml:space="preserve">）)每月对所有设备进行一次例行检修、保养，如更换一次黄油或更换一次机油等。 </w:t>
      </w:r>
    </w:p>
    <w:p>
      <w:pPr>
        <w:pStyle w:val="11"/>
        <w:spacing w:before="156" w:beforeLines="50" w:beforeAutospacing="0" w:after="0" w:afterAutospacing="0" w:line="200" w:lineRule="atLeast"/>
        <w:ind w:firstLine="480"/>
        <w:rPr>
          <w:highlight w:val="none"/>
        </w:rPr>
      </w:pPr>
      <w:r>
        <w:rPr>
          <w:rFonts w:hint="eastAsia"/>
          <w:highlight w:val="none"/>
        </w:rPr>
        <w:t>1</w:t>
      </w:r>
      <w:r>
        <w:rPr>
          <w:highlight w:val="none"/>
        </w:rPr>
        <w:t>1</w:t>
      </w:r>
      <w:r>
        <w:rPr>
          <w:rFonts w:hint="eastAsia"/>
          <w:highlight w:val="none"/>
        </w:rPr>
        <w:t xml:space="preserve">）协助采购人做好第三方水样的采集、配送工作。 </w:t>
      </w:r>
    </w:p>
    <w:p>
      <w:pPr>
        <w:pStyle w:val="11"/>
        <w:spacing w:before="156" w:beforeLines="50" w:beforeAutospacing="0" w:after="0" w:afterAutospacing="0" w:line="200" w:lineRule="atLeast"/>
        <w:ind w:firstLine="480"/>
        <w:rPr>
          <w:highlight w:val="none"/>
        </w:rPr>
      </w:pPr>
      <w:r>
        <w:rPr>
          <w:highlight w:val="none"/>
        </w:rPr>
        <w:t>12</w:t>
      </w:r>
      <w:r>
        <w:rPr>
          <w:rFonts w:hint="eastAsia"/>
          <w:highlight w:val="none"/>
        </w:rPr>
        <w:t xml:space="preserve">）每个月将所有的巡查、维保维修，定时/定期检测水质报告等全部资料按采购人 要求做好装订成册、归档。这是采购人每月支付费用的依据。 </w:t>
      </w:r>
    </w:p>
    <w:p>
      <w:pPr>
        <w:pStyle w:val="11"/>
        <w:spacing w:before="156" w:beforeLines="50" w:beforeAutospacing="0" w:after="0" w:afterAutospacing="0" w:line="200" w:lineRule="atLeast"/>
        <w:ind w:firstLine="480"/>
        <w:rPr>
          <w:highlight w:val="none"/>
        </w:rPr>
      </w:pPr>
      <w:r>
        <w:rPr>
          <w:highlight w:val="none"/>
        </w:rPr>
        <w:t>13</w:t>
      </w:r>
      <w:r>
        <w:rPr>
          <w:rFonts w:hint="eastAsia"/>
          <w:highlight w:val="none"/>
        </w:rPr>
        <w:t>）</w:t>
      </w:r>
      <w:r>
        <w:rPr>
          <w:rFonts w:hint="eastAsia"/>
          <w:highlight w:val="none"/>
          <w:lang w:eastAsia="zh-CN"/>
        </w:rPr>
        <w:t>供应商</w:t>
      </w:r>
      <w:r>
        <w:rPr>
          <w:rFonts w:hint="eastAsia"/>
          <w:highlight w:val="none"/>
        </w:rPr>
        <w:t>对采购人现有污水站设施运行进行管理和维护保养，保障设备的正常运行;维修材料 500 元及以下项目由</w:t>
      </w:r>
      <w:r>
        <w:rPr>
          <w:rFonts w:hint="eastAsia"/>
          <w:highlight w:val="none"/>
          <w:lang w:eastAsia="zh-CN"/>
        </w:rPr>
        <w:t>供应商</w:t>
      </w:r>
      <w:r>
        <w:rPr>
          <w:rFonts w:hint="eastAsia"/>
          <w:highlight w:val="none"/>
        </w:rPr>
        <w:t>提供技术人员处理，大修和涉及大型设备更换由采购人提供材料或第三方负责，</w:t>
      </w:r>
      <w:r>
        <w:rPr>
          <w:rFonts w:hint="eastAsia"/>
          <w:highlight w:val="none"/>
          <w:lang w:eastAsia="zh-CN"/>
        </w:rPr>
        <w:t>供应商</w:t>
      </w:r>
      <w:r>
        <w:rPr>
          <w:rFonts w:hint="eastAsia"/>
          <w:highlight w:val="none"/>
        </w:rPr>
        <w:t>给予配合。 若因</w:t>
      </w:r>
      <w:r>
        <w:rPr>
          <w:rFonts w:hint="eastAsia"/>
          <w:highlight w:val="none"/>
          <w:lang w:eastAsia="zh-CN"/>
        </w:rPr>
        <w:t>供应商</w:t>
      </w:r>
      <w:r>
        <w:rPr>
          <w:rFonts w:hint="eastAsia"/>
          <w:highlight w:val="none"/>
        </w:rPr>
        <w:t>人为损坏或保养不当导致的设备损坏，其更换费用由</w:t>
      </w:r>
      <w:r>
        <w:rPr>
          <w:rFonts w:hint="eastAsia"/>
          <w:highlight w:val="none"/>
          <w:lang w:eastAsia="zh-CN"/>
        </w:rPr>
        <w:t>供应商</w:t>
      </w:r>
      <w:r>
        <w:rPr>
          <w:rFonts w:hint="eastAsia"/>
          <w:highlight w:val="none"/>
        </w:rPr>
        <w:t xml:space="preserve">承担。 </w:t>
      </w:r>
    </w:p>
    <w:p>
      <w:pPr>
        <w:pStyle w:val="11"/>
        <w:spacing w:before="156" w:beforeLines="50" w:beforeAutospacing="0" w:after="0" w:afterAutospacing="0" w:line="200" w:lineRule="atLeast"/>
        <w:ind w:firstLine="480"/>
        <w:rPr>
          <w:highlight w:val="none"/>
        </w:rPr>
      </w:pPr>
      <w:r>
        <w:rPr>
          <w:rFonts w:hint="eastAsia"/>
          <w:highlight w:val="none"/>
        </w:rPr>
        <w:t>1</w:t>
      </w:r>
      <w:r>
        <w:rPr>
          <w:highlight w:val="none"/>
        </w:rPr>
        <w:t>4</w:t>
      </w:r>
      <w:r>
        <w:rPr>
          <w:rFonts w:hint="eastAsia"/>
          <w:highlight w:val="none"/>
        </w:rPr>
        <w:t>）</w:t>
      </w:r>
      <w:r>
        <w:rPr>
          <w:rFonts w:hint="eastAsia"/>
          <w:highlight w:val="none"/>
          <w:lang w:eastAsia="zh-CN"/>
        </w:rPr>
        <w:t>供应商</w:t>
      </w:r>
      <w:r>
        <w:rPr>
          <w:rFonts w:hint="eastAsia"/>
          <w:highlight w:val="none"/>
        </w:rPr>
        <w:t xml:space="preserve">的运营管理及人员必须服从采购人的管理和监督。 </w:t>
      </w:r>
    </w:p>
    <w:p>
      <w:pPr>
        <w:pStyle w:val="11"/>
        <w:spacing w:before="156" w:beforeLines="50" w:beforeAutospacing="0" w:after="0" w:afterAutospacing="0" w:line="200" w:lineRule="atLeast"/>
        <w:ind w:firstLine="480"/>
        <w:rPr>
          <w:highlight w:val="none"/>
        </w:rPr>
      </w:pPr>
      <w:r>
        <w:rPr>
          <w:highlight w:val="none"/>
        </w:rPr>
        <w:t>15</w:t>
      </w:r>
      <w:r>
        <w:rPr>
          <w:rFonts w:hint="eastAsia"/>
          <w:highlight w:val="none"/>
        </w:rPr>
        <w:t xml:space="preserve">）除新增设备、政府新增监督项目、及协商同意改变外，项目总费用包含合同期内 的药剂、配件物料、人力、设备等的浮动及耗损。 </w:t>
      </w:r>
    </w:p>
    <w:p>
      <w:pPr>
        <w:pStyle w:val="11"/>
        <w:spacing w:before="156" w:beforeLines="50" w:beforeAutospacing="0" w:after="0" w:afterAutospacing="0" w:line="200" w:lineRule="atLeast"/>
        <w:ind w:firstLine="480"/>
        <w:rPr>
          <w:highlight w:val="none"/>
        </w:rPr>
      </w:pPr>
      <w:r>
        <w:rPr>
          <w:rFonts w:hint="eastAsia"/>
          <w:highlight w:val="none"/>
        </w:rPr>
        <w:t>1</w:t>
      </w:r>
      <w:r>
        <w:rPr>
          <w:highlight w:val="none"/>
        </w:rPr>
        <w:t>6</w:t>
      </w:r>
      <w:r>
        <w:rPr>
          <w:rFonts w:hint="eastAsia"/>
          <w:highlight w:val="none"/>
        </w:rPr>
        <w:t>）如发生设备故障或突发事件，</w:t>
      </w:r>
      <w:r>
        <w:rPr>
          <w:rFonts w:hint="eastAsia"/>
          <w:highlight w:val="none"/>
          <w:lang w:eastAsia="zh-CN"/>
        </w:rPr>
        <w:t>供应商</w:t>
      </w:r>
      <w:r>
        <w:rPr>
          <w:rFonts w:hint="eastAsia"/>
          <w:highlight w:val="none"/>
        </w:rPr>
        <w:t>必须配合采购人做好应急处理方案及配合，确保污水达标排放。自然灾害、不可抗力的因素除外。</w:t>
      </w:r>
    </w:p>
    <w:p>
      <w:pPr>
        <w:pStyle w:val="10"/>
        <w:spacing w:before="156" w:beforeLines="50" w:beforeAutospacing="0" w:after="0" w:afterAutospacing="0" w:line="200" w:lineRule="atLeast"/>
        <w:ind w:firstLine="480"/>
        <w:rPr>
          <w:highlight w:val="none"/>
        </w:rPr>
      </w:pPr>
      <w:r>
        <w:rPr>
          <w:rFonts w:hint="eastAsia"/>
          <w:highlight w:val="none"/>
        </w:rPr>
        <w:t>1</w:t>
      </w:r>
      <w:r>
        <w:rPr>
          <w:highlight w:val="none"/>
        </w:rPr>
        <w:t>7</w:t>
      </w:r>
      <w:r>
        <w:rPr>
          <w:rFonts w:hint="eastAsia"/>
          <w:highlight w:val="none"/>
        </w:rPr>
        <w:t>）如设备发生故障，</w:t>
      </w:r>
      <w:r>
        <w:rPr>
          <w:rFonts w:hint="eastAsia"/>
          <w:highlight w:val="none"/>
          <w:lang w:eastAsia="zh-CN"/>
        </w:rPr>
        <w:t>供应商</w:t>
      </w:r>
      <w:r>
        <w:rPr>
          <w:rFonts w:hint="eastAsia"/>
          <w:highlight w:val="none"/>
        </w:rPr>
        <w:t xml:space="preserve">组织技术人员两个小时内到达污水站现场响应维修。维修人员自行更换500元及以下的零配件，保证24小时内恢复设备正常运行。如设备需更换单价 500元以上的零配件，经报采购人同意后24小时内恢复设备正常运行。如遇零配件需生产厂家提供等特殊情况，经报采购人同意后一周内恢复设备正常运行。 </w:t>
      </w:r>
    </w:p>
    <w:p>
      <w:pPr>
        <w:spacing w:before="156" w:beforeLines="50" w:beforeAutospacing="0" w:after="0" w:afterAutospacing="0" w:line="200" w:lineRule="atLeast"/>
        <w:ind w:firstLine="482"/>
        <w:rPr>
          <w:rFonts w:hAnsi="宋体"/>
          <w:b/>
          <w:bCs/>
          <w:sz w:val="24"/>
          <w:szCs w:val="24"/>
          <w:highlight w:val="none"/>
        </w:rPr>
      </w:pPr>
      <w:r>
        <w:rPr>
          <w:rFonts w:hAnsi="宋体"/>
          <w:b/>
          <w:bCs/>
          <w:sz w:val="24"/>
          <w:szCs w:val="24"/>
          <w:highlight w:val="none"/>
        </w:rPr>
        <w:t>（</w:t>
      </w:r>
      <w:r>
        <w:rPr>
          <w:rFonts w:hint="eastAsia" w:hAnsi="宋体"/>
          <w:b/>
          <w:bCs/>
          <w:sz w:val="24"/>
          <w:szCs w:val="24"/>
          <w:highlight w:val="none"/>
        </w:rPr>
        <w:t>2）实验室废气治理运营管理</w:t>
      </w:r>
    </w:p>
    <w:p>
      <w:pPr>
        <w:spacing w:before="156" w:beforeLines="50" w:beforeAutospacing="0" w:after="0" w:afterAutospacing="0" w:line="200" w:lineRule="atLeast"/>
        <w:ind w:firstLine="480"/>
        <w:rPr>
          <w:rFonts w:hAnsi="宋体"/>
          <w:bCs/>
          <w:sz w:val="24"/>
          <w:szCs w:val="24"/>
          <w:highlight w:val="none"/>
        </w:rPr>
      </w:pPr>
      <w:r>
        <w:rPr>
          <w:rFonts w:hint="eastAsia" w:hAnsi="宋体"/>
          <w:bCs/>
          <w:sz w:val="24"/>
          <w:szCs w:val="24"/>
          <w:highlight w:val="none"/>
        </w:rPr>
        <w:t>1）可由天河院区污水处理运营工作人员兼任实验室废气治理运营管理工作；</w:t>
      </w:r>
    </w:p>
    <w:p>
      <w:pPr>
        <w:spacing w:before="156" w:beforeLines="50" w:beforeAutospacing="0" w:after="0" w:afterAutospacing="0" w:line="200" w:lineRule="atLeast"/>
        <w:ind w:firstLine="480"/>
        <w:rPr>
          <w:color w:val="000000"/>
          <w:sz w:val="24"/>
          <w:szCs w:val="24"/>
          <w:highlight w:val="none"/>
        </w:rPr>
      </w:pPr>
      <w:r>
        <w:rPr>
          <w:rFonts w:hint="eastAsia" w:hAnsi="宋体"/>
          <w:bCs/>
          <w:sz w:val="24"/>
          <w:szCs w:val="24"/>
          <w:highlight w:val="none"/>
        </w:rPr>
        <w:t>2）</w:t>
      </w:r>
      <w:r>
        <w:rPr>
          <w:rFonts w:hint="eastAsia"/>
          <w:color w:val="000000"/>
          <w:sz w:val="24"/>
          <w:szCs w:val="24"/>
          <w:highlight w:val="none"/>
        </w:rPr>
        <w:t>每年分别于</w:t>
      </w:r>
      <w:r>
        <w:rPr>
          <w:rFonts w:hint="eastAsia"/>
          <w:color w:val="000000"/>
          <w:sz w:val="24"/>
          <w:szCs w:val="24"/>
          <w:highlight w:val="yellow"/>
        </w:rPr>
        <w:t>1、5、9月份3次</w:t>
      </w:r>
      <w:r>
        <w:rPr>
          <w:rFonts w:hint="eastAsia"/>
          <w:color w:val="000000"/>
          <w:sz w:val="24"/>
          <w:szCs w:val="24"/>
          <w:highlight w:val="none"/>
        </w:rPr>
        <w:t>更换活性炭（包工包料包含 3 次活性炭更换，根据废气前后浓度，安排活性炭更换时间；不包含第三方有资质废活性炭处置费）；</w:t>
      </w:r>
    </w:p>
    <w:p>
      <w:pPr>
        <w:spacing w:before="156" w:beforeLines="50" w:beforeAutospacing="0" w:after="0" w:afterAutospacing="0" w:line="200" w:lineRule="atLeast"/>
        <w:ind w:firstLine="480"/>
        <w:rPr>
          <w:color w:val="000000"/>
          <w:sz w:val="24"/>
          <w:szCs w:val="24"/>
          <w:highlight w:val="none"/>
        </w:rPr>
      </w:pPr>
      <w:r>
        <w:rPr>
          <w:rFonts w:hint="eastAsia"/>
          <w:color w:val="000000"/>
          <w:sz w:val="24"/>
          <w:szCs w:val="24"/>
          <w:highlight w:val="none"/>
        </w:rPr>
        <w:t>3）每日检测喷淋液PH值并根据检测结果适时添加氢氧化钠；</w:t>
      </w:r>
    </w:p>
    <w:p>
      <w:pPr>
        <w:spacing w:before="156" w:beforeLines="50" w:beforeAutospacing="0" w:after="0" w:afterAutospacing="0" w:line="200" w:lineRule="atLeast"/>
        <w:ind w:firstLine="480"/>
        <w:rPr>
          <w:rFonts w:hAnsi="宋体"/>
          <w:bCs/>
          <w:sz w:val="24"/>
          <w:szCs w:val="24"/>
          <w:highlight w:val="none"/>
        </w:rPr>
      </w:pPr>
      <w:r>
        <w:rPr>
          <w:color w:val="000000"/>
          <w:sz w:val="24"/>
          <w:szCs w:val="24"/>
          <w:highlight w:val="none"/>
        </w:rPr>
        <w:t>4）</w:t>
      </w:r>
      <w:r>
        <w:rPr>
          <w:rFonts w:hint="eastAsia"/>
          <w:color w:val="000000"/>
          <w:sz w:val="24"/>
          <w:szCs w:val="24"/>
          <w:highlight w:val="none"/>
        </w:rPr>
        <w:t>风机、水泵、管道、电气维护（单个配件500元以下由承接方负责）等，要求能够做到每日巡检实验室废气治理设施，经常性对风机皮带、轴承、管道及相关电气设备进行维保，定期更换活性炭，及时监测喷淋酸雾情况，适时添加片碱。</w:t>
      </w:r>
    </w:p>
    <w:p>
      <w:pPr>
        <w:pStyle w:val="5"/>
        <w:spacing w:before="156" w:beforeLines="50" w:beforeAutospacing="0" w:after="0" w:afterAutospacing="0" w:line="200" w:lineRule="atLeast"/>
        <w:ind w:firstLine="482"/>
        <w:rPr>
          <w:rFonts w:hAnsi="宋体"/>
          <w:b/>
          <w:bCs/>
          <w:sz w:val="24"/>
          <w:szCs w:val="24"/>
          <w:highlight w:val="none"/>
        </w:rPr>
      </w:pPr>
      <w:r>
        <w:rPr>
          <w:rFonts w:hAnsi="宋体"/>
          <w:b/>
          <w:bCs/>
          <w:sz w:val="24"/>
          <w:szCs w:val="24"/>
          <w:highlight w:val="none"/>
        </w:rPr>
        <w:t>3</w:t>
      </w:r>
      <w:r>
        <w:rPr>
          <w:rFonts w:hint="eastAsia" w:hAnsi="宋体"/>
          <w:b/>
          <w:bCs/>
          <w:sz w:val="24"/>
          <w:szCs w:val="24"/>
          <w:highlight w:val="none"/>
        </w:rPr>
        <w:t>．主要设备清单</w:t>
      </w:r>
    </w:p>
    <w:p>
      <w:pPr>
        <w:pStyle w:val="6"/>
        <w:spacing w:before="156" w:beforeLines="50" w:beforeAutospacing="0" w:after="0" w:afterAutospacing="0" w:line="200" w:lineRule="atLeast"/>
        <w:ind w:firstLine="482"/>
        <w:rPr>
          <w:b/>
          <w:sz w:val="24"/>
          <w:highlight w:val="none"/>
        </w:rPr>
      </w:pPr>
      <w:r>
        <w:rPr>
          <w:b/>
          <w:sz w:val="24"/>
          <w:highlight w:val="none"/>
        </w:rPr>
        <w:t>（</w:t>
      </w:r>
      <w:r>
        <w:rPr>
          <w:rFonts w:hint="eastAsia"/>
          <w:b/>
          <w:sz w:val="24"/>
          <w:highlight w:val="none"/>
        </w:rPr>
        <w:t>1）污水处理站</w:t>
      </w:r>
    </w:p>
    <w:p>
      <w:pPr>
        <w:pStyle w:val="11"/>
        <w:spacing w:before="156" w:beforeLines="50" w:beforeAutospacing="0" w:after="0" w:afterAutospacing="0" w:line="200" w:lineRule="atLeast"/>
        <w:ind w:firstLine="480"/>
        <w:rPr>
          <w:highlight w:val="none"/>
        </w:rPr>
      </w:pPr>
      <w:r>
        <w:rPr>
          <w:rFonts w:hint="eastAsia"/>
          <w:highlight w:val="none"/>
        </w:rPr>
        <w:t>1）集水池:1 套格栅，</w:t>
      </w:r>
      <w:r>
        <w:rPr>
          <w:highlight w:val="none"/>
        </w:rPr>
        <w:t>2</w:t>
      </w:r>
      <w:r>
        <w:rPr>
          <w:rFonts w:hint="eastAsia"/>
          <w:highlight w:val="none"/>
        </w:rPr>
        <w:t>台潜水泵；</w:t>
      </w:r>
    </w:p>
    <w:p>
      <w:pPr>
        <w:pStyle w:val="11"/>
        <w:spacing w:before="156" w:beforeLines="50" w:beforeAutospacing="0" w:after="0" w:afterAutospacing="0" w:line="200" w:lineRule="atLeast"/>
        <w:ind w:firstLine="480"/>
        <w:rPr>
          <w:highlight w:val="none"/>
        </w:rPr>
      </w:pPr>
      <w:r>
        <w:rPr>
          <w:bCs/>
          <w:highlight w:val="none"/>
        </w:rPr>
        <w:t>2</w:t>
      </w:r>
      <w:r>
        <w:rPr>
          <w:rFonts w:hint="eastAsia"/>
          <w:bCs/>
          <w:highlight w:val="none"/>
        </w:rPr>
        <w:t>）</w:t>
      </w:r>
      <w:r>
        <w:rPr>
          <w:rFonts w:hint="eastAsia"/>
          <w:highlight w:val="none"/>
        </w:rPr>
        <w:t>调节池:2 台潜水泵；</w:t>
      </w:r>
    </w:p>
    <w:p>
      <w:pPr>
        <w:pStyle w:val="11"/>
        <w:spacing w:before="156" w:beforeLines="50" w:beforeAutospacing="0" w:after="0" w:afterAutospacing="0" w:line="200" w:lineRule="atLeast"/>
        <w:ind w:firstLine="480"/>
        <w:rPr>
          <w:highlight w:val="none"/>
        </w:rPr>
      </w:pPr>
      <w:r>
        <w:rPr>
          <w:highlight w:val="none"/>
        </w:rPr>
        <w:t>3</w:t>
      </w:r>
      <w:r>
        <w:rPr>
          <w:rFonts w:hint="eastAsia"/>
          <w:highlight w:val="none"/>
        </w:rPr>
        <w:t>）消毒池:一套药剂投加装置 （次氯酸钠消毒液）；</w:t>
      </w:r>
    </w:p>
    <w:p>
      <w:pPr>
        <w:pStyle w:val="11"/>
        <w:spacing w:before="156" w:beforeLines="50" w:beforeAutospacing="0" w:after="0" w:afterAutospacing="0" w:line="200" w:lineRule="atLeast"/>
        <w:ind w:firstLine="480"/>
        <w:rPr>
          <w:highlight w:val="none"/>
        </w:rPr>
      </w:pPr>
      <w:r>
        <w:rPr>
          <w:rFonts w:hint="eastAsia"/>
          <w:highlight w:val="none"/>
        </w:rPr>
        <w:t xml:space="preserve">4）消毒设备机房:1 台排气扇； </w:t>
      </w:r>
    </w:p>
    <w:p>
      <w:pPr>
        <w:pStyle w:val="11"/>
        <w:spacing w:before="156" w:beforeLines="50" w:beforeAutospacing="0" w:after="0" w:afterAutospacing="0" w:line="200" w:lineRule="atLeast"/>
        <w:ind w:firstLine="480"/>
        <w:rPr>
          <w:color w:val="000000"/>
          <w:highlight w:val="none"/>
        </w:rPr>
      </w:pPr>
      <w:r>
        <w:rPr>
          <w:rFonts w:hint="eastAsia"/>
          <w:highlight w:val="none"/>
        </w:rPr>
        <w:t>5）</w:t>
      </w:r>
      <w:r>
        <w:rPr>
          <w:rFonts w:hint="eastAsia"/>
          <w:color w:val="000000"/>
          <w:highlight w:val="none"/>
        </w:rPr>
        <w:t>出水流量计一套；</w:t>
      </w:r>
    </w:p>
    <w:p>
      <w:pPr>
        <w:pStyle w:val="11"/>
        <w:spacing w:before="156" w:beforeLines="50" w:beforeAutospacing="0" w:after="0" w:afterAutospacing="0" w:line="200" w:lineRule="atLeast"/>
        <w:ind w:firstLine="480"/>
        <w:rPr>
          <w:color w:val="000000"/>
          <w:highlight w:val="none"/>
        </w:rPr>
      </w:pPr>
      <w:r>
        <w:rPr>
          <w:rFonts w:hint="eastAsia"/>
          <w:color w:val="000000"/>
          <w:highlight w:val="none"/>
        </w:rPr>
        <w:t>6）在线监测设备一套；</w:t>
      </w:r>
    </w:p>
    <w:p>
      <w:pPr>
        <w:pStyle w:val="11"/>
        <w:spacing w:before="156" w:beforeLines="50" w:beforeAutospacing="0" w:after="0" w:afterAutospacing="0" w:line="200" w:lineRule="atLeast"/>
        <w:ind w:firstLine="480"/>
        <w:rPr>
          <w:color w:val="000000"/>
          <w:highlight w:val="yellow"/>
        </w:rPr>
      </w:pPr>
      <w:bookmarkStart w:id="0" w:name="_GoBack"/>
      <w:r>
        <w:rPr>
          <w:rFonts w:hint="eastAsia"/>
          <w:color w:val="000000"/>
          <w:highlight w:val="yellow"/>
        </w:rPr>
        <w:t>7）黄埔新院全套污水处理设施设备（按交付时所属清单）。</w:t>
      </w:r>
    </w:p>
    <w:bookmarkEnd w:id="0"/>
    <w:p>
      <w:pPr>
        <w:pStyle w:val="11"/>
        <w:spacing w:before="156" w:beforeLines="50" w:beforeAutospacing="0" w:after="0" w:afterAutospacing="0" w:line="200" w:lineRule="atLeast"/>
        <w:ind w:firstLine="482"/>
        <w:rPr>
          <w:b/>
          <w:color w:val="000000"/>
          <w:highlight w:val="none"/>
        </w:rPr>
      </w:pPr>
      <w:r>
        <w:rPr>
          <w:b/>
          <w:color w:val="000000"/>
          <w:highlight w:val="none"/>
        </w:rPr>
        <w:t>（</w:t>
      </w:r>
      <w:r>
        <w:rPr>
          <w:rFonts w:hint="eastAsia"/>
          <w:b/>
          <w:color w:val="000000"/>
          <w:highlight w:val="none"/>
        </w:rPr>
        <w:t>2）实验室废气治理</w:t>
      </w:r>
    </w:p>
    <w:p>
      <w:pPr>
        <w:pStyle w:val="11"/>
        <w:spacing w:before="156" w:beforeLines="50" w:beforeAutospacing="0" w:after="0" w:afterAutospacing="0" w:line="200" w:lineRule="atLeast"/>
        <w:ind w:firstLine="480"/>
        <w:rPr>
          <w:color w:val="000000"/>
          <w:highlight w:val="none"/>
        </w:rPr>
      </w:pPr>
      <w:r>
        <w:rPr>
          <w:rFonts w:hint="eastAsia"/>
          <w:color w:val="000000"/>
          <w:highlight w:val="none"/>
        </w:rPr>
        <w:t>1）喷淋塔3个；</w:t>
      </w:r>
    </w:p>
    <w:p>
      <w:pPr>
        <w:pStyle w:val="11"/>
        <w:spacing w:before="156" w:beforeLines="50" w:beforeAutospacing="0" w:after="0" w:afterAutospacing="0" w:line="200" w:lineRule="atLeast"/>
        <w:ind w:firstLine="480"/>
        <w:rPr>
          <w:color w:val="000000"/>
          <w:highlight w:val="none"/>
        </w:rPr>
      </w:pPr>
      <w:r>
        <w:rPr>
          <w:rFonts w:hint="eastAsia"/>
          <w:color w:val="000000"/>
          <w:highlight w:val="none"/>
        </w:rPr>
        <w:t>2）水箱、潜水泵3台；</w:t>
      </w:r>
    </w:p>
    <w:p>
      <w:pPr>
        <w:pStyle w:val="11"/>
        <w:spacing w:before="156" w:beforeLines="50" w:beforeAutospacing="0" w:after="0" w:afterAutospacing="0" w:line="200" w:lineRule="atLeast"/>
        <w:ind w:firstLine="480"/>
        <w:rPr>
          <w:color w:val="000000"/>
          <w:highlight w:val="none"/>
        </w:rPr>
      </w:pPr>
      <w:r>
        <w:rPr>
          <w:rFonts w:hint="eastAsia"/>
          <w:color w:val="000000"/>
          <w:highlight w:val="none"/>
        </w:rPr>
        <w:t>3）风机4台；</w:t>
      </w:r>
    </w:p>
    <w:p>
      <w:pPr>
        <w:pStyle w:val="11"/>
        <w:spacing w:before="156" w:beforeLines="50" w:beforeAutospacing="0" w:after="0" w:afterAutospacing="0" w:line="200" w:lineRule="atLeast"/>
        <w:ind w:firstLine="480"/>
        <w:rPr>
          <w:color w:val="000000"/>
          <w:highlight w:val="none"/>
        </w:rPr>
      </w:pPr>
      <w:r>
        <w:rPr>
          <w:rFonts w:hint="eastAsia"/>
          <w:color w:val="000000"/>
          <w:highlight w:val="none"/>
        </w:rPr>
        <w:t>4）活性炭箱2个；</w:t>
      </w:r>
    </w:p>
    <w:p>
      <w:pPr>
        <w:pStyle w:val="11"/>
        <w:spacing w:before="156" w:beforeLines="50" w:beforeAutospacing="0" w:after="0" w:afterAutospacing="0" w:line="200" w:lineRule="atLeast"/>
        <w:ind w:firstLine="480"/>
        <w:rPr>
          <w:color w:val="000000"/>
          <w:highlight w:val="none"/>
        </w:rPr>
      </w:pPr>
      <w:r>
        <w:rPr>
          <w:rFonts w:hint="eastAsia"/>
          <w:color w:val="000000"/>
          <w:highlight w:val="none"/>
        </w:rPr>
        <w:t>5）通风管道及连接胶带一批。</w:t>
      </w:r>
    </w:p>
    <w:p>
      <w:pPr>
        <w:spacing w:before="156" w:beforeLines="50" w:beforeAutospacing="0" w:after="0" w:afterAutospacing="0" w:line="200" w:lineRule="atLeast"/>
        <w:ind w:firstLine="482"/>
        <w:rPr>
          <w:rFonts w:ascii="宋体" w:hAnsi="宋体" w:cs="宋体"/>
          <w:b/>
          <w:bCs/>
          <w:sz w:val="24"/>
          <w:szCs w:val="24"/>
          <w:highlight w:val="none"/>
        </w:rPr>
      </w:pPr>
    </w:p>
    <w:p>
      <w:pPr>
        <w:pStyle w:val="4"/>
        <w:spacing w:before="156" w:beforeLines="50" w:beforeAutospacing="0" w:after="0" w:afterAutospacing="0" w:line="200" w:lineRule="atLeast"/>
        <w:ind w:firstLine="560"/>
        <w:rPr>
          <w:rFonts w:ascii="宋体" w:hAnsi="宋体" w:cs="宋体"/>
          <w:b w:val="0"/>
          <w:bCs w:val="0"/>
          <w:sz w:val="28"/>
          <w:szCs w:val="28"/>
          <w:highlight w:val="none"/>
        </w:rPr>
      </w:pPr>
      <w:r>
        <w:rPr>
          <w:rFonts w:hint="eastAsia" w:ascii="宋体" w:hAnsi="宋体" w:cs="宋体"/>
          <w:b w:val="0"/>
          <w:bCs w:val="0"/>
          <w:sz w:val="28"/>
          <w:szCs w:val="28"/>
          <w:highlight w:val="none"/>
        </w:rPr>
        <w:t>三、报价要求</w:t>
      </w:r>
    </w:p>
    <w:p>
      <w:pPr>
        <w:spacing w:before="156" w:beforeLines="50" w:beforeAutospacing="0" w:after="0" w:afterAutospacing="0" w:line="200" w:lineRule="atLeast"/>
        <w:ind w:firstLine="480"/>
        <w:rPr>
          <w:rFonts w:ascii="宋体" w:hAnsi="宋体" w:cs="宋体"/>
          <w:sz w:val="24"/>
          <w:szCs w:val="24"/>
          <w:highlight w:val="none"/>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报价需</w:t>
      </w:r>
      <w:r>
        <w:rPr>
          <w:rFonts w:ascii="宋体" w:hAnsi="宋体" w:cs="宋体"/>
          <w:sz w:val="24"/>
          <w:szCs w:val="24"/>
          <w:highlight w:val="none"/>
        </w:rPr>
        <w:t>包含</w:t>
      </w:r>
      <w:r>
        <w:rPr>
          <w:rFonts w:hint="eastAsia" w:ascii="宋体" w:hAnsi="宋体" w:cs="宋体"/>
          <w:sz w:val="24"/>
          <w:szCs w:val="24"/>
          <w:highlight w:val="none"/>
        </w:rPr>
        <w:t>污水处理及实验室废气治理设施设备运行管理中技术管理费、管理人员和操作人员人工费、药剂费、500元以内的日常设备维修保养费、所有水质、废气检测费、活性炭更换费、劳保用品费、环保部门处罚费、各项税费等。</w:t>
      </w:r>
    </w:p>
    <w:p>
      <w:pPr>
        <w:spacing w:before="156" w:beforeLines="50" w:beforeAutospacing="0" w:after="0" w:afterAutospacing="0" w:line="200" w:lineRule="atLeast"/>
        <w:ind w:left="342" w:leftChars="163" w:firstLine="0" w:firstLineChars="0"/>
        <w:rPr>
          <w:rFonts w:ascii="宋体" w:hAnsi="宋体" w:cs="宋体"/>
          <w:sz w:val="24"/>
          <w:szCs w:val="24"/>
          <w:highlight w:val="none"/>
        </w:rPr>
      </w:pPr>
    </w:p>
    <w:sectPr>
      <w:headerReference r:id="rId7" w:type="first"/>
      <w:footerReference r:id="rId10" w:type="first"/>
      <w:headerReference r:id="rId5" w:type="default"/>
      <w:footerReference r:id="rId8" w:type="default"/>
      <w:headerReference r:id="rId6" w:type="even"/>
      <w:footerReference r:id="rId9" w:type="even"/>
      <w:pgSz w:w="11900" w:h="16840"/>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NGVjMDA1ZDBkOWQzYzgwMmM0MTRiM2IzZWE1YTcifQ=="/>
  </w:docVars>
  <w:rsids>
    <w:rsidRoot w:val="00AD3546"/>
    <w:rsid w:val="000B4A2A"/>
    <w:rsid w:val="000B5242"/>
    <w:rsid w:val="000C6320"/>
    <w:rsid w:val="000C71D3"/>
    <w:rsid w:val="000D66B2"/>
    <w:rsid w:val="000E5742"/>
    <w:rsid w:val="000E62ED"/>
    <w:rsid w:val="001013CF"/>
    <w:rsid w:val="00106430"/>
    <w:rsid w:val="001956EB"/>
    <w:rsid w:val="001B400A"/>
    <w:rsid w:val="002046AB"/>
    <w:rsid w:val="002361AE"/>
    <w:rsid w:val="002A47EA"/>
    <w:rsid w:val="002D16A1"/>
    <w:rsid w:val="002D318E"/>
    <w:rsid w:val="00336779"/>
    <w:rsid w:val="00343183"/>
    <w:rsid w:val="00350C8E"/>
    <w:rsid w:val="004109FE"/>
    <w:rsid w:val="00450C19"/>
    <w:rsid w:val="00475D89"/>
    <w:rsid w:val="004B5027"/>
    <w:rsid w:val="004E102F"/>
    <w:rsid w:val="005173E6"/>
    <w:rsid w:val="00526E51"/>
    <w:rsid w:val="005454A5"/>
    <w:rsid w:val="005C4A63"/>
    <w:rsid w:val="00637569"/>
    <w:rsid w:val="00642833"/>
    <w:rsid w:val="006D38A5"/>
    <w:rsid w:val="006E4521"/>
    <w:rsid w:val="00731359"/>
    <w:rsid w:val="007A673A"/>
    <w:rsid w:val="007B3846"/>
    <w:rsid w:val="007E16F7"/>
    <w:rsid w:val="007E3955"/>
    <w:rsid w:val="00846CE0"/>
    <w:rsid w:val="008514E2"/>
    <w:rsid w:val="008A31E0"/>
    <w:rsid w:val="008B0414"/>
    <w:rsid w:val="008B3E10"/>
    <w:rsid w:val="00922290"/>
    <w:rsid w:val="00954D06"/>
    <w:rsid w:val="00A16733"/>
    <w:rsid w:val="00A41CE4"/>
    <w:rsid w:val="00A66A5A"/>
    <w:rsid w:val="00A72704"/>
    <w:rsid w:val="00AD3546"/>
    <w:rsid w:val="00AE4087"/>
    <w:rsid w:val="00B3499C"/>
    <w:rsid w:val="00B35402"/>
    <w:rsid w:val="00B50B7B"/>
    <w:rsid w:val="00BC138E"/>
    <w:rsid w:val="00C2787D"/>
    <w:rsid w:val="00C76B59"/>
    <w:rsid w:val="00CD617D"/>
    <w:rsid w:val="00D72C24"/>
    <w:rsid w:val="00E05557"/>
    <w:rsid w:val="00E8681B"/>
    <w:rsid w:val="00EC03DA"/>
    <w:rsid w:val="00F2481F"/>
    <w:rsid w:val="00F746DD"/>
    <w:rsid w:val="00F821AE"/>
    <w:rsid w:val="00F96437"/>
    <w:rsid w:val="22A7096A"/>
    <w:rsid w:val="24306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100" w:beforeAutospacing="1" w:after="100" w:afterAutospacing="1" w:line="360" w:lineRule="auto"/>
      <w:ind w:firstLine="200" w:firstLineChars="200"/>
    </w:pPr>
    <w:rPr>
      <w:rFonts w:ascii="Calibri" w:hAnsi="Calibri" w:eastAsia="宋体" w:cs="Times New Roman"/>
      <w:kern w:val="0"/>
      <w:sz w:val="21"/>
      <w:szCs w:val="20"/>
      <w:lang w:val="en-US" w:eastAsia="zh-CN" w:bidi="ar-SA"/>
    </w:rPr>
  </w:style>
  <w:style w:type="paragraph" w:styleId="2">
    <w:name w:val="heading 1"/>
    <w:basedOn w:val="1"/>
    <w:next w:val="1"/>
    <w:link w:val="2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6"/>
    <w:link w:val="17"/>
    <w:autoRedefine/>
    <w:qFormat/>
    <w:uiPriority w:val="0"/>
    <w:pPr>
      <w:widowControl w:val="0"/>
      <w:autoSpaceDE w:val="0"/>
      <w:autoSpaceDN w:val="0"/>
      <w:adjustRightInd w:val="0"/>
      <w:snapToGrid w:val="0"/>
      <w:jc w:val="both"/>
      <w:outlineLvl w:val="3"/>
    </w:pPr>
    <w:rPr>
      <w:rFonts w:ascii="宋体" w:hAnsi="Arial" w:cs="宋体"/>
      <w:color w:val="000000"/>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18"/>
    <w:autoRedefine/>
    <w:qFormat/>
    <w:uiPriority w:val="0"/>
    <w:pPr>
      <w:ind w:firstLine="420"/>
    </w:pPr>
    <w:rPr>
      <w:rFonts w:asciiTheme="minorHAnsi" w:hAnsiTheme="minorHAnsi" w:cstheme="minorBidi"/>
      <w:kern w:val="2"/>
      <w:szCs w:val="24"/>
    </w:rPr>
  </w:style>
  <w:style w:type="paragraph" w:styleId="7">
    <w:name w:val="Plain Text"/>
    <w:basedOn w:val="1"/>
    <w:link w:val="15"/>
    <w:autoRedefine/>
    <w:qFormat/>
    <w:uiPriority w:val="0"/>
    <w:rPr>
      <w:rFonts w:ascii="宋体" w:hAnsi="Courier New" w:cs="Courier New"/>
      <w:kern w:val="2"/>
      <w:szCs w:val="21"/>
    </w:rPr>
  </w:style>
  <w:style w:type="paragraph" w:styleId="8">
    <w:name w:val="footer"/>
    <w:basedOn w:val="1"/>
    <w:link w:val="29"/>
    <w:autoRedefine/>
    <w:unhideWhenUsed/>
    <w:qFormat/>
    <w:uiPriority w:val="99"/>
    <w:pPr>
      <w:tabs>
        <w:tab w:val="center" w:pos="4153"/>
        <w:tab w:val="right" w:pos="8306"/>
      </w:tabs>
      <w:snapToGrid w:val="0"/>
      <w:spacing w:line="240" w:lineRule="auto"/>
    </w:pPr>
    <w:rPr>
      <w:sz w:val="18"/>
      <w:szCs w:val="18"/>
    </w:rPr>
  </w:style>
  <w:style w:type="paragraph" w:styleId="9">
    <w:name w:val="header"/>
    <w:basedOn w:val="1"/>
    <w:link w:val="28"/>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HTML Preformatted"/>
    <w:basedOn w:val="1"/>
    <w:link w:val="24"/>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11">
    <w:name w:val="Normal (Web)"/>
    <w:basedOn w:val="1"/>
    <w:autoRedefine/>
    <w:unhideWhenUsed/>
    <w:qFormat/>
    <w:uiPriority w:val="99"/>
    <w:rPr>
      <w:rFonts w:ascii="宋体" w:hAnsi="宋体" w:cs="宋体"/>
      <w:sz w:val="24"/>
      <w:szCs w:val="24"/>
    </w:r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纯文本 Char"/>
    <w:link w:val="7"/>
    <w:autoRedefine/>
    <w:qFormat/>
    <w:uiPriority w:val="0"/>
    <w:rPr>
      <w:rFonts w:ascii="宋体" w:hAnsi="Courier New" w:eastAsia="宋体" w:cs="Courier New"/>
      <w:szCs w:val="21"/>
    </w:rPr>
  </w:style>
  <w:style w:type="character" w:customStyle="1" w:styleId="16">
    <w:name w:val="纯文本 字符1"/>
    <w:basedOn w:val="14"/>
    <w:autoRedefine/>
    <w:semiHidden/>
    <w:qFormat/>
    <w:uiPriority w:val="99"/>
    <w:rPr>
      <w:rFonts w:hAnsi="Courier New" w:cs="Courier New" w:asciiTheme="minorEastAsia"/>
      <w:kern w:val="0"/>
      <w:szCs w:val="20"/>
    </w:rPr>
  </w:style>
  <w:style w:type="character" w:customStyle="1" w:styleId="17">
    <w:name w:val="标题 4 Char"/>
    <w:basedOn w:val="14"/>
    <w:link w:val="5"/>
    <w:autoRedefine/>
    <w:qFormat/>
    <w:uiPriority w:val="0"/>
    <w:rPr>
      <w:rFonts w:ascii="宋体" w:hAnsi="Arial" w:eastAsia="宋体" w:cs="宋体"/>
      <w:color w:val="000000"/>
      <w:kern w:val="0"/>
      <w:szCs w:val="20"/>
    </w:rPr>
  </w:style>
  <w:style w:type="character" w:customStyle="1" w:styleId="18">
    <w:name w:val="正文缩进 Char"/>
    <w:link w:val="6"/>
    <w:qFormat/>
    <w:uiPriority w:val="0"/>
    <w:rPr>
      <w:rFonts w:eastAsia="宋体"/>
    </w:rPr>
  </w:style>
  <w:style w:type="paragraph" w:customStyle="1" w:styleId="19">
    <w:name w:val="Default"/>
    <w:qFormat/>
    <w:uiPriority w:val="0"/>
    <w:pPr>
      <w:widowControl w:val="0"/>
      <w:autoSpaceDE w:val="0"/>
      <w:autoSpaceDN w:val="0"/>
      <w:adjustRightInd w:val="0"/>
      <w:spacing w:before="100" w:beforeAutospacing="1" w:after="100" w:afterAutospacing="1" w:line="360" w:lineRule="auto"/>
      <w:ind w:firstLine="200" w:firstLineChars="200"/>
    </w:pPr>
    <w:rPr>
      <w:rFonts w:ascii="宋体" w:hAnsi="Calibri" w:eastAsia="宋体" w:cs="宋体"/>
      <w:color w:val="000000"/>
      <w:kern w:val="0"/>
      <w:sz w:val="24"/>
      <w:szCs w:val="24"/>
      <w:lang w:val="en-US" w:eastAsia="zh-CN" w:bidi="ar-SA"/>
    </w:rPr>
  </w:style>
  <w:style w:type="character" w:customStyle="1" w:styleId="20">
    <w:name w:val="标题 3 Char"/>
    <w:basedOn w:val="14"/>
    <w:link w:val="4"/>
    <w:autoRedefine/>
    <w:semiHidden/>
    <w:qFormat/>
    <w:uiPriority w:val="9"/>
    <w:rPr>
      <w:rFonts w:ascii="Calibri" w:hAnsi="Calibri" w:eastAsia="宋体" w:cs="Times New Roman"/>
      <w:b/>
      <w:bCs/>
      <w:kern w:val="0"/>
      <w:sz w:val="32"/>
      <w:szCs w:val="32"/>
    </w:rPr>
  </w:style>
  <w:style w:type="paragraph" w:customStyle="1" w:styleId="21">
    <w:name w:val="正文缩进2格"/>
    <w:basedOn w:val="1"/>
    <w:autoRedefine/>
    <w:qFormat/>
    <w:uiPriority w:val="0"/>
    <w:pPr>
      <w:widowControl w:val="0"/>
      <w:spacing w:line="600" w:lineRule="exact"/>
      <w:ind w:firstLine="639" w:firstLineChars="206"/>
      <w:jc w:val="both"/>
    </w:pPr>
    <w:rPr>
      <w:rFonts w:ascii="仿宋_GB2312" w:hAnsi="宋体" w:eastAsia="仿宋_GB2312"/>
      <w:kern w:val="2"/>
      <w:sz w:val="31"/>
      <w:szCs w:val="28"/>
    </w:rPr>
  </w:style>
  <w:style w:type="paragraph" w:customStyle="1" w:styleId="22">
    <w:name w:val="样式 小四 段前: 5 磅 段后: 5 磅 首行缩进:  2 字符"/>
    <w:basedOn w:val="1"/>
    <w:autoRedefine/>
    <w:qFormat/>
    <w:uiPriority w:val="0"/>
    <w:rPr>
      <w:rFonts w:ascii="宋体" w:hAnsi="宋体" w:cs="Arial Unicode MS"/>
      <w:bCs/>
      <w:color w:val="000000"/>
      <w:szCs w:val="21"/>
    </w:rPr>
  </w:style>
  <w:style w:type="paragraph" w:customStyle="1" w:styleId="23">
    <w:name w:val="图"/>
    <w:basedOn w:val="1"/>
    <w:autoRedefine/>
    <w:qFormat/>
    <w:uiPriority w:val="0"/>
    <w:pPr>
      <w:keepNext/>
      <w:widowControl w:val="0"/>
      <w:adjustRightInd w:val="0"/>
      <w:spacing w:before="60" w:after="60" w:line="300" w:lineRule="auto"/>
      <w:jc w:val="center"/>
      <w:textAlignment w:val="center"/>
    </w:pPr>
    <w:rPr>
      <w:snapToGrid w:val="0"/>
      <w:spacing w:val="20"/>
      <w:sz w:val="24"/>
    </w:rPr>
  </w:style>
  <w:style w:type="character" w:customStyle="1" w:styleId="24">
    <w:name w:val="HTML 预设格式 Char"/>
    <w:basedOn w:val="14"/>
    <w:link w:val="10"/>
    <w:autoRedefine/>
    <w:qFormat/>
    <w:uiPriority w:val="99"/>
    <w:rPr>
      <w:rFonts w:ascii="宋体" w:hAnsi="宋体" w:eastAsia="宋体" w:cs="宋体"/>
      <w:kern w:val="0"/>
      <w:sz w:val="24"/>
    </w:rPr>
  </w:style>
  <w:style w:type="character" w:customStyle="1" w:styleId="25">
    <w:name w:val="标题 1 Char"/>
    <w:basedOn w:val="14"/>
    <w:link w:val="2"/>
    <w:autoRedefine/>
    <w:qFormat/>
    <w:uiPriority w:val="9"/>
    <w:rPr>
      <w:rFonts w:ascii="Calibri" w:hAnsi="Calibri" w:eastAsia="宋体" w:cs="Times New Roman"/>
      <w:b/>
      <w:bCs/>
      <w:kern w:val="44"/>
      <w:sz w:val="44"/>
      <w:szCs w:val="44"/>
    </w:rPr>
  </w:style>
  <w:style w:type="character" w:customStyle="1" w:styleId="26">
    <w:name w:val="ask-title"/>
    <w:basedOn w:val="14"/>
    <w:uiPriority w:val="0"/>
  </w:style>
  <w:style w:type="character" w:customStyle="1" w:styleId="27">
    <w:name w:val="标题 2 Char"/>
    <w:basedOn w:val="14"/>
    <w:link w:val="3"/>
    <w:semiHidden/>
    <w:uiPriority w:val="9"/>
    <w:rPr>
      <w:rFonts w:asciiTheme="majorHAnsi" w:hAnsiTheme="majorHAnsi" w:eastAsiaTheme="majorEastAsia" w:cstheme="majorBidi"/>
      <w:b/>
      <w:bCs/>
      <w:kern w:val="0"/>
      <w:sz w:val="32"/>
      <w:szCs w:val="32"/>
    </w:rPr>
  </w:style>
  <w:style w:type="character" w:customStyle="1" w:styleId="28">
    <w:name w:val="页眉 Char"/>
    <w:basedOn w:val="14"/>
    <w:link w:val="9"/>
    <w:qFormat/>
    <w:uiPriority w:val="99"/>
    <w:rPr>
      <w:rFonts w:ascii="Calibri" w:hAnsi="Calibri" w:eastAsia="宋体" w:cs="Times New Roman"/>
      <w:kern w:val="0"/>
      <w:sz w:val="18"/>
      <w:szCs w:val="18"/>
    </w:rPr>
  </w:style>
  <w:style w:type="character" w:customStyle="1" w:styleId="29">
    <w:name w:val="页脚 Char"/>
    <w:basedOn w:val="14"/>
    <w:link w:val="8"/>
    <w:autoRedefine/>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1430</Words>
  <Characters>1532</Characters>
  <Lines>95</Lines>
  <Paragraphs>58</Paragraphs>
  <TotalTime>11</TotalTime>
  <ScaleCrop>false</ScaleCrop>
  <LinksUpToDate>false</LinksUpToDate>
  <CharactersWithSpaces>2904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2024-02-19T04:05:00Z</dcterms:created>
  <dc:creator>Microsoft Office User</dc:creator>
  <cp:lastModifiedBy>月入两万卡路里</cp:lastModifiedBy>
  <dcterms:modified xsi:type="dcterms:W3CDTF">2024-02-20T06:38:06Z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9A3CA06F338F4D50B4F0374DED4856A7_13</vt:lpwstr>
  </property>
</Properties>
</file>