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11645"/>
        <w:tblOverlap w:val="never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1"/>
        <w:gridCol w:w="1387"/>
        <w:gridCol w:w="1124"/>
        <w:gridCol w:w="1475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广州市第十二人民医院市场调研表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其他：以上报价有效期为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2024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159D0C3D"/>
    <w:rsid w:val="159D0C3D"/>
    <w:rsid w:val="634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208</Characters>
  <Lines>0</Lines>
  <Paragraphs>0</Paragraphs>
  <TotalTime>5</TotalTime>
  <ScaleCrop>false</ScaleCrop>
  <LinksUpToDate>false</LinksUpToDate>
  <CharactersWithSpaces>388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2023-06-26T00:58:00Z</dcterms:created>
  <dc:creator>惠州市中医医院</dc:creator>
  <cp:lastModifiedBy>月入两万卡路里</cp:lastModifiedBy>
  <dcterms:modified xsi:type="dcterms:W3CDTF">2024-07-16T07:21:42Z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5C14531FCE0942F58C43D0C07072B308_13</vt:lpwstr>
  </property>
</Properties>
</file>